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3830A8" w:rsidTr="003830A8">
        <w:trPr>
          <w:trHeight w:val="350"/>
        </w:trPr>
        <w:tc>
          <w:tcPr>
            <w:tcW w:w="2448" w:type="dxa"/>
            <w:shd w:val="clear" w:color="auto" w:fill="auto"/>
            <w:tcMar>
              <w:top w:w="0" w:type="dxa"/>
              <w:left w:w="108" w:type="dxa"/>
              <w:bottom w:w="0" w:type="dxa"/>
              <w:right w:w="108" w:type="dxa"/>
            </w:tcMar>
            <w:hideMark/>
          </w:tcPr>
          <w:p w:rsidR="003830A8" w:rsidRPr="003830A8" w:rsidRDefault="003830A8" w:rsidP="00265071">
            <w:pPr>
              <w:spacing w:after="0"/>
              <w:rPr>
                <w:rFonts w:ascii="Calibri" w:hAnsi="Calibri"/>
                <w:b/>
                <w:bCs/>
                <w:color w:val="262626"/>
              </w:rPr>
            </w:pPr>
            <w:bookmarkStart w:id="0" w:name="_GoBack"/>
            <w:bookmarkEnd w:id="0"/>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3830A8" w:rsidRPr="003830A8" w:rsidRDefault="007C7D2D" w:rsidP="00265071">
            <w:pPr>
              <w:spacing w:after="0"/>
              <w:rPr>
                <w:rFonts w:ascii="Calibri" w:hAnsi="Calibri"/>
                <w:color w:val="262626"/>
                <w:sz w:val="20"/>
                <w:szCs w:val="20"/>
              </w:rPr>
            </w:pPr>
            <w:r>
              <w:rPr>
                <w:rFonts w:ascii="Calibri" w:hAnsi="Calibri"/>
                <w:color w:val="262626"/>
                <w:sz w:val="20"/>
                <w:szCs w:val="20"/>
              </w:rPr>
              <w:t>Drones and Targeted Killings</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3830A8" w:rsidRPr="003830A8" w:rsidRDefault="006470F3" w:rsidP="00265071">
            <w:pPr>
              <w:spacing w:after="0"/>
              <w:rPr>
                <w:rFonts w:ascii="Calibri" w:hAnsi="Calibri"/>
                <w:color w:val="262626"/>
                <w:sz w:val="20"/>
                <w:szCs w:val="20"/>
              </w:rPr>
            </w:pPr>
            <w:r>
              <w:rPr>
                <w:rFonts w:ascii="Calibri" w:hAnsi="Calibri"/>
                <w:color w:val="262626"/>
                <w:sz w:val="20"/>
                <w:szCs w:val="20"/>
              </w:rPr>
              <w:t>$140,000</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3830A8" w:rsidRPr="003830A8" w:rsidRDefault="008C1C47" w:rsidP="002F079B">
            <w:pPr>
              <w:spacing w:after="0"/>
              <w:rPr>
                <w:rFonts w:ascii="Calibri" w:hAnsi="Calibri"/>
                <w:color w:val="262626"/>
                <w:sz w:val="20"/>
                <w:szCs w:val="20"/>
              </w:rPr>
            </w:pPr>
            <w:r w:rsidRPr="002F079B">
              <w:rPr>
                <w:rFonts w:ascii="Calibri" w:hAnsi="Calibri"/>
                <w:sz w:val="20"/>
                <w:szCs w:val="20"/>
              </w:rPr>
              <w:t xml:space="preserve">USP received a </w:t>
            </w:r>
            <w:r w:rsidR="002F079B">
              <w:rPr>
                <w:rFonts w:ascii="Calibri" w:hAnsi="Calibri"/>
                <w:sz w:val="20"/>
                <w:szCs w:val="20"/>
              </w:rPr>
              <w:t xml:space="preserve">first </w:t>
            </w:r>
            <w:r w:rsidRPr="002F079B">
              <w:rPr>
                <w:rFonts w:ascii="Calibri" w:hAnsi="Calibri"/>
                <w:sz w:val="20"/>
                <w:szCs w:val="20"/>
              </w:rPr>
              <w:t>transfer of $775</w:t>
            </w:r>
            <w:r w:rsidR="006470F3" w:rsidRPr="002F079B">
              <w:rPr>
                <w:rFonts w:ascii="Calibri" w:hAnsi="Calibri"/>
                <w:sz w:val="20"/>
                <w:szCs w:val="20"/>
              </w:rPr>
              <w:t>k</w:t>
            </w:r>
            <w:r w:rsidRPr="002F079B">
              <w:rPr>
                <w:rFonts w:ascii="Calibri" w:hAnsi="Calibri"/>
                <w:sz w:val="20"/>
                <w:szCs w:val="20"/>
              </w:rPr>
              <w:t>. Upon developing some of the later grants, some adjustments in grantees and amounts raised the total needed to $830</w:t>
            </w:r>
            <w:r w:rsidR="006470F3" w:rsidRPr="002F079B">
              <w:rPr>
                <w:rFonts w:ascii="Calibri" w:hAnsi="Calibri"/>
                <w:sz w:val="20"/>
                <w:szCs w:val="20"/>
              </w:rPr>
              <w:t>k</w:t>
            </w:r>
            <w:r w:rsidRPr="002F079B">
              <w:rPr>
                <w:rFonts w:ascii="Calibri" w:hAnsi="Calibri"/>
                <w:sz w:val="20"/>
                <w:szCs w:val="20"/>
              </w:rPr>
              <w:t xml:space="preserve"> as of August/September 2015</w:t>
            </w:r>
            <w:r w:rsidR="006470F3" w:rsidRPr="002F079B">
              <w:rPr>
                <w:rFonts w:ascii="Calibri" w:hAnsi="Calibri"/>
                <w:sz w:val="20"/>
                <w:szCs w:val="20"/>
              </w:rPr>
              <w:t xml:space="preserve"> and an additional $55k was then allocated. </w:t>
            </w:r>
            <w:r w:rsidR="006470F3" w:rsidRPr="002F079B">
              <w:rPr>
                <w:rFonts w:ascii="Calibri" w:hAnsi="Calibri"/>
                <w:sz w:val="20"/>
                <w:szCs w:val="20"/>
                <w:highlight w:val="yellow"/>
              </w:rPr>
              <w:t>Th</w:t>
            </w:r>
            <w:r w:rsidR="002F079B" w:rsidRPr="002F079B">
              <w:rPr>
                <w:rFonts w:ascii="Calibri" w:hAnsi="Calibri"/>
                <w:sz w:val="20"/>
                <w:szCs w:val="20"/>
                <w:highlight w:val="yellow"/>
              </w:rPr>
              <w:t xml:space="preserve">e current amendment, if granted, would add </w:t>
            </w:r>
            <w:r w:rsidR="006470F3" w:rsidRPr="002F079B">
              <w:rPr>
                <w:rFonts w:ascii="Calibri" w:hAnsi="Calibri"/>
                <w:sz w:val="20"/>
                <w:szCs w:val="20"/>
                <w:highlight w:val="yellow"/>
              </w:rPr>
              <w:t>$140k to that total</w:t>
            </w:r>
            <w:r w:rsidRPr="002F079B">
              <w:rPr>
                <w:rFonts w:ascii="Calibri" w:hAnsi="Calibri"/>
                <w:sz w:val="20"/>
                <w:szCs w:val="20"/>
                <w:highlight w:val="yellow"/>
              </w:rPr>
              <w:t>.</w:t>
            </w:r>
            <w:r w:rsidRPr="002F079B">
              <w:rPr>
                <w:rFonts w:ascii="Calibri" w:hAnsi="Calibri"/>
                <w:sz w:val="20"/>
                <w:szCs w:val="20"/>
              </w:rPr>
              <w:t xml:space="preserve"> This </w:t>
            </w:r>
            <w:r w:rsidR="002F079B">
              <w:rPr>
                <w:rFonts w:ascii="Calibri" w:hAnsi="Calibri"/>
                <w:sz w:val="20"/>
                <w:szCs w:val="20"/>
              </w:rPr>
              <w:t xml:space="preserve">additional request </w:t>
            </w:r>
            <w:r w:rsidRPr="002F079B">
              <w:rPr>
                <w:rFonts w:ascii="Calibri" w:hAnsi="Calibri"/>
                <w:sz w:val="20"/>
                <w:szCs w:val="20"/>
              </w:rPr>
              <w:t xml:space="preserve">accounts for the </w:t>
            </w:r>
            <w:r w:rsidR="006470F3" w:rsidRPr="002F079B">
              <w:rPr>
                <w:rFonts w:ascii="Calibri" w:hAnsi="Calibri"/>
                <w:sz w:val="20"/>
                <w:szCs w:val="20"/>
              </w:rPr>
              <w:t>Advisory Group’s interest in developing a grant to the Center for Civilians in Conflict</w:t>
            </w:r>
            <w:r w:rsidR="002F079B">
              <w:rPr>
                <w:rFonts w:ascii="Calibri" w:hAnsi="Calibri"/>
                <w:sz w:val="20"/>
                <w:szCs w:val="20"/>
              </w:rPr>
              <w:t xml:space="preserve"> (CIVIC). The other change reflected here is that we received a contribution from another USP program to our grant to </w:t>
            </w:r>
            <w:proofErr w:type="spellStart"/>
            <w:r w:rsidR="002F079B">
              <w:rPr>
                <w:rFonts w:ascii="Calibri" w:hAnsi="Calibri"/>
                <w:sz w:val="20"/>
                <w:szCs w:val="20"/>
              </w:rPr>
              <w:t>CorpWatch</w:t>
            </w:r>
            <w:proofErr w:type="spellEnd"/>
            <w:r w:rsidR="002F079B">
              <w:rPr>
                <w:rFonts w:ascii="Calibri" w:hAnsi="Calibri"/>
                <w:sz w:val="20"/>
                <w:szCs w:val="20"/>
              </w:rPr>
              <w:t xml:space="preserve">, enabling some of the </w:t>
            </w:r>
            <w:r w:rsidR="002F079B" w:rsidRPr="002F079B">
              <w:rPr>
                <w:rFonts w:ascii="Calibri" w:hAnsi="Calibri"/>
                <w:sz w:val="20"/>
                <w:szCs w:val="20"/>
                <w:highlight w:val="yellow"/>
              </w:rPr>
              <w:t xml:space="preserve">SF funds allocated to </w:t>
            </w:r>
            <w:proofErr w:type="spellStart"/>
            <w:r w:rsidR="002F079B" w:rsidRPr="002F079B">
              <w:rPr>
                <w:rFonts w:ascii="Calibri" w:hAnsi="Calibri"/>
                <w:sz w:val="20"/>
                <w:szCs w:val="20"/>
                <w:highlight w:val="yellow"/>
              </w:rPr>
              <w:t>CorpWatch</w:t>
            </w:r>
            <w:proofErr w:type="spellEnd"/>
            <w:r w:rsidR="002F079B" w:rsidRPr="002F079B">
              <w:rPr>
                <w:rFonts w:ascii="Calibri" w:hAnsi="Calibri"/>
                <w:sz w:val="20"/>
                <w:szCs w:val="20"/>
                <w:highlight w:val="yellow"/>
              </w:rPr>
              <w:t xml:space="preserve"> ($35k of the last allocation and $15k of USP funds from NSHR) to shift over to CIVIC</w:t>
            </w:r>
            <w:r w:rsidR="002F079B">
              <w:rPr>
                <w:rFonts w:ascii="Calibri" w:hAnsi="Calibri"/>
                <w:sz w:val="20"/>
                <w:szCs w:val="20"/>
              </w:rPr>
              <w:t xml:space="preserve">. </w:t>
            </w:r>
            <w:r w:rsidR="00610237" w:rsidRPr="002F079B">
              <w:rPr>
                <w:rFonts w:ascii="Calibri" w:hAnsi="Calibri"/>
                <w:sz w:val="20"/>
                <w:szCs w:val="20"/>
              </w:rPr>
              <w:t xml:space="preserve">Current and projected spending of SF funds and USP contribution, as amended, is detailed further in the attached chart. </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3830A8" w:rsidRPr="003830A8" w:rsidRDefault="003830A8" w:rsidP="002F079B">
            <w:pPr>
              <w:spacing w:after="0"/>
              <w:rPr>
                <w:rFonts w:ascii="Calibri" w:hAnsi="Calibri"/>
                <w:color w:val="262626"/>
                <w:sz w:val="20"/>
                <w:szCs w:val="20"/>
                <w:lang w:val="pt-BR"/>
              </w:rPr>
            </w:pP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3830A8">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3830A8" w:rsidRPr="003830A8" w:rsidRDefault="007C7D2D" w:rsidP="002F079B">
            <w:pPr>
              <w:spacing w:after="0"/>
              <w:rPr>
                <w:rFonts w:ascii="Calibri" w:hAnsi="Calibri"/>
                <w:color w:val="262626"/>
                <w:sz w:val="20"/>
                <w:szCs w:val="20"/>
                <w:lang w:val="pt-BR"/>
              </w:rPr>
            </w:pPr>
            <w:r>
              <w:rPr>
                <w:rFonts w:ascii="Calibri" w:hAnsi="Calibri"/>
                <w:color w:val="262626"/>
                <w:sz w:val="20"/>
                <w:szCs w:val="20"/>
                <w:lang w:val="pt-BR"/>
              </w:rPr>
              <w:t>The proposed grant</w:t>
            </w:r>
            <w:r w:rsidR="002F079B">
              <w:rPr>
                <w:rFonts w:ascii="Calibri" w:hAnsi="Calibri"/>
                <w:color w:val="262626"/>
                <w:sz w:val="20"/>
                <w:szCs w:val="20"/>
                <w:lang w:val="pt-BR"/>
              </w:rPr>
              <w:t xml:space="preserve"> to CIVIC would </w:t>
            </w:r>
            <w:r w:rsidR="00C76E6E" w:rsidRPr="00C76E6E">
              <w:rPr>
                <w:rFonts w:ascii="Calibri" w:hAnsi="Calibri"/>
                <w:color w:val="262626"/>
                <w:sz w:val="20"/>
                <w:szCs w:val="20"/>
                <w:lang w:val="pt-BR"/>
              </w:rPr>
              <w:t>support the project, “Protecting Civilians from the Impact of Drone Attacks,” to advocate for consistent government policy and practice with respect to civilian harm mitigation in cases of U.S. use of force and to provide technical expertise with government officials and other stakeholders on how such policies and practices might best be implemented. The project includes specific attention to the civilian harm resulting from the use of armed drones and other counterterrorism operations outside of declared areas of hostility.</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C76E6E" w:rsidRPr="00C76E6E" w:rsidRDefault="00C76E6E" w:rsidP="00C76E6E">
            <w:pPr>
              <w:spacing w:after="0"/>
              <w:rPr>
                <w:rFonts w:ascii="Calibri" w:hAnsi="Calibri"/>
                <w:color w:val="262626"/>
                <w:sz w:val="20"/>
                <w:szCs w:val="20"/>
                <w:lang w:val="pt-BR"/>
              </w:rPr>
            </w:pPr>
            <w:r w:rsidRPr="00C76E6E">
              <w:rPr>
                <w:rFonts w:ascii="Calibri" w:hAnsi="Calibri"/>
                <w:color w:val="262626"/>
                <w:sz w:val="20"/>
                <w:szCs w:val="20"/>
                <w:lang w:val="pt-BR"/>
              </w:rPr>
              <w:t xml:space="preserve">CIVIC will provide technical expertise to the U.S. government on investigation and post-harm assistance and participate in regular advocacy meetings with the administration and various relevant agencies, including the National Security Council, DOD, and the State Department. It will also advocate for the DOD and US Army Training and Doctrine Command to create joint doctrine on civilian casualty mitigation, offering technical assistance to help the authorities develop it. </w:t>
            </w:r>
          </w:p>
          <w:p w:rsidR="00C76E6E" w:rsidRPr="00C76E6E" w:rsidRDefault="00C76E6E" w:rsidP="00C76E6E">
            <w:pPr>
              <w:spacing w:after="0"/>
              <w:rPr>
                <w:rFonts w:ascii="Calibri" w:hAnsi="Calibri"/>
                <w:color w:val="262626"/>
                <w:sz w:val="20"/>
                <w:szCs w:val="20"/>
                <w:lang w:val="pt-BR"/>
              </w:rPr>
            </w:pPr>
          </w:p>
          <w:p w:rsidR="00C76E6E" w:rsidRPr="00C76E6E" w:rsidRDefault="00C76E6E" w:rsidP="00C76E6E">
            <w:pPr>
              <w:spacing w:after="0"/>
              <w:rPr>
                <w:rFonts w:ascii="Calibri" w:hAnsi="Calibri"/>
                <w:color w:val="262626"/>
                <w:sz w:val="20"/>
                <w:szCs w:val="20"/>
                <w:lang w:val="pt-BR"/>
              </w:rPr>
            </w:pPr>
            <w:r w:rsidRPr="00C76E6E">
              <w:rPr>
                <w:rFonts w:ascii="Calibri" w:hAnsi="Calibri"/>
                <w:color w:val="262626"/>
                <w:sz w:val="20"/>
                <w:szCs w:val="20"/>
                <w:lang w:val="pt-BR"/>
              </w:rPr>
              <w:t xml:space="preserve">As one of a number of NGOs working on the issue globally, CIVIC will host a roundtable meeting in the U.S. in February 2016 to facilitation coordination, and will offer its technical assistance and information on best practices to advocacy organizations. By March, CIVIC expects to disseminate a briefing paper on ways the U.S. can investigate and provide post-harm assistance, in contexts without the presence of ground troops; it will identify specific roles for both the State and Defense Departments in this effort. Later in the year, CIVIC expects to share expertise with European-based NGOs engaging their own governments on civilian harm mitigation and the use of armed drones. </w:t>
            </w:r>
          </w:p>
          <w:p w:rsidR="00C76E6E" w:rsidRPr="00C76E6E" w:rsidRDefault="00C76E6E" w:rsidP="00C76E6E">
            <w:pPr>
              <w:spacing w:after="0"/>
              <w:rPr>
                <w:rFonts w:ascii="Calibri" w:hAnsi="Calibri"/>
                <w:color w:val="262626"/>
                <w:sz w:val="20"/>
                <w:szCs w:val="20"/>
                <w:lang w:val="pt-BR"/>
              </w:rPr>
            </w:pPr>
          </w:p>
          <w:p w:rsidR="00DB475D" w:rsidRPr="00DB475D" w:rsidRDefault="00C76E6E" w:rsidP="00C76E6E">
            <w:pPr>
              <w:spacing w:after="0"/>
              <w:rPr>
                <w:rFonts w:ascii="Calibri" w:hAnsi="Calibri"/>
                <w:color w:val="262626"/>
                <w:sz w:val="20"/>
                <w:szCs w:val="20"/>
                <w:lang w:val="pt-BR"/>
              </w:rPr>
            </w:pPr>
            <w:r w:rsidRPr="00C76E6E">
              <w:rPr>
                <w:rFonts w:ascii="Calibri" w:hAnsi="Calibri"/>
                <w:color w:val="262626"/>
                <w:sz w:val="20"/>
                <w:szCs w:val="20"/>
                <w:lang w:val="pt-BR"/>
              </w:rPr>
              <w:t>CIVIC also proposes to develop a media strategy, drawing on its staff as well as a consultant. Part of this will be direct communication of CIVIC’s perspective and part will be an effort to get journalists to reinvigorate the public discussion on the use of lethal drones and the recommendations CIVIC develops.</w:t>
            </w:r>
          </w:p>
          <w:p w:rsidR="00DB475D" w:rsidRPr="003830A8" w:rsidRDefault="00DB475D" w:rsidP="00DB475D">
            <w:pPr>
              <w:spacing w:after="0"/>
              <w:rPr>
                <w:rFonts w:ascii="Calibri" w:hAnsi="Calibri"/>
                <w:color w:val="262626"/>
                <w:sz w:val="20"/>
                <w:szCs w:val="20"/>
                <w:lang w:val="pt-BR"/>
              </w:rPr>
            </w:pP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3830A8" w:rsidRDefault="00DB475D" w:rsidP="00C76E6E">
            <w:pPr>
              <w:spacing w:after="0"/>
              <w:rPr>
                <w:rFonts w:ascii="Calibri" w:hAnsi="Calibri"/>
                <w:sz w:val="20"/>
                <w:szCs w:val="20"/>
              </w:rPr>
            </w:pPr>
            <w:r>
              <w:rPr>
                <w:rFonts w:ascii="Calibri" w:hAnsi="Calibri"/>
                <w:sz w:val="20"/>
                <w:szCs w:val="20"/>
              </w:rPr>
              <w:t xml:space="preserve">This allocation to US Programs would </w:t>
            </w:r>
            <w:r w:rsidR="00C76E6E">
              <w:rPr>
                <w:rFonts w:ascii="Calibri" w:hAnsi="Calibri"/>
                <w:sz w:val="20"/>
                <w:szCs w:val="20"/>
              </w:rPr>
              <w:t xml:space="preserve">allow USP to add $140,000 to the remaining $60,000 on hand to make a one year project grant to Center for Civilians in Conflict to advance our goals on civilian compensation by the US (goal 1) and, potentially, </w:t>
            </w:r>
            <w:r w:rsidR="00C76E6E">
              <w:rPr>
                <w:rFonts w:ascii="Calibri" w:hAnsi="Calibri"/>
                <w:sz w:val="20"/>
                <w:szCs w:val="20"/>
              </w:rPr>
              <w:lastRenderedPageBreak/>
              <w:t xml:space="preserve">other countries (goal 3). </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lastRenderedPageBreak/>
              <w:t>Collaborating Programs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3830A8" w:rsidRDefault="008D193F" w:rsidP="00C76E6E">
            <w:pPr>
              <w:spacing w:after="0"/>
              <w:rPr>
                <w:rFonts w:ascii="Calibri" w:hAnsi="Calibri"/>
                <w:sz w:val="20"/>
                <w:szCs w:val="20"/>
              </w:rPr>
            </w:pPr>
            <w:r>
              <w:rPr>
                <w:rFonts w:ascii="Calibri" w:hAnsi="Calibri"/>
                <w:sz w:val="20"/>
                <w:szCs w:val="20"/>
              </w:rPr>
              <w:t xml:space="preserve">Financial collaboration: US Programs </w:t>
            </w:r>
            <w:r w:rsidR="00C76E6E">
              <w:rPr>
                <w:rFonts w:ascii="Calibri" w:hAnsi="Calibri"/>
                <w:sz w:val="20"/>
                <w:szCs w:val="20"/>
              </w:rPr>
              <w:t xml:space="preserve">is contributing $15k to this grant, which was developed in concert with OSF-DC and in discussion with the Drones Advisory Group. CIVIC will partner with other grantees, especially the Human Rights Institute at Columbia Law School, and facilitate coordination as well as offer its technical knowledge on </w:t>
            </w:r>
            <w:r w:rsidR="00C76E6E" w:rsidRPr="00C76E6E">
              <w:rPr>
                <w:rFonts w:ascii="Calibri" w:hAnsi="Calibri"/>
                <w:i/>
                <w:sz w:val="20"/>
                <w:szCs w:val="20"/>
              </w:rPr>
              <w:t>how</w:t>
            </w:r>
            <w:r w:rsidR="00C76E6E">
              <w:rPr>
                <w:rFonts w:ascii="Calibri" w:hAnsi="Calibri"/>
                <w:sz w:val="20"/>
                <w:szCs w:val="20"/>
              </w:rPr>
              <w:t xml:space="preserve"> to achieve systematic compensation.  This amended allocation also reflects an additional contribution of $60k to the work of the shared framework from another US Program (on investigative journalism) for the </w:t>
            </w:r>
            <w:proofErr w:type="spellStart"/>
            <w:r w:rsidR="00C76E6E">
              <w:rPr>
                <w:rFonts w:ascii="Calibri" w:hAnsi="Calibri"/>
                <w:sz w:val="20"/>
                <w:szCs w:val="20"/>
              </w:rPr>
              <w:t>CorpWatch</w:t>
            </w:r>
            <w:proofErr w:type="spellEnd"/>
            <w:r w:rsidR="00C76E6E">
              <w:rPr>
                <w:rFonts w:ascii="Calibri" w:hAnsi="Calibri"/>
                <w:sz w:val="20"/>
                <w:szCs w:val="20"/>
              </w:rPr>
              <w:t xml:space="preserve"> project. While not coded to the SF category of work, this </w:t>
            </w:r>
            <w:r w:rsidR="00C76E6E" w:rsidRPr="00C76E6E">
              <w:rPr>
                <w:rFonts w:ascii="Calibri" w:hAnsi="Calibri"/>
                <w:i/>
                <w:sz w:val="20"/>
                <w:szCs w:val="20"/>
              </w:rPr>
              <w:t xml:space="preserve">effectively </w:t>
            </w:r>
            <w:r w:rsidR="00C76E6E">
              <w:rPr>
                <w:rFonts w:ascii="Calibri" w:hAnsi="Calibri"/>
                <w:sz w:val="20"/>
                <w:szCs w:val="20"/>
              </w:rPr>
              <w:t>increases USP’s contribution to $410k.</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Contributions expected from Collaborating 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3830A8" w:rsidRDefault="008D193F" w:rsidP="00265071">
            <w:pPr>
              <w:spacing w:after="0"/>
              <w:rPr>
                <w:rFonts w:ascii="Calibri" w:hAnsi="Calibri"/>
                <w:sz w:val="20"/>
                <w:szCs w:val="20"/>
              </w:rPr>
            </w:pPr>
            <w:r>
              <w:rPr>
                <w:rFonts w:ascii="Calibri" w:hAnsi="Calibri"/>
                <w:sz w:val="20"/>
                <w:szCs w:val="20"/>
              </w:rPr>
              <w:t>See above.</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3830A8" w:rsidRDefault="008D193F" w:rsidP="00C76E6E">
            <w:pPr>
              <w:spacing w:after="0"/>
              <w:rPr>
                <w:rFonts w:ascii="Calibri" w:hAnsi="Calibri"/>
                <w:sz w:val="20"/>
                <w:szCs w:val="20"/>
              </w:rPr>
            </w:pPr>
            <w:r>
              <w:rPr>
                <w:rFonts w:ascii="Calibri" w:hAnsi="Calibri"/>
                <w:sz w:val="20"/>
                <w:szCs w:val="20"/>
              </w:rPr>
              <w:t>Lisa Magarrell (USP) w</w:t>
            </w:r>
            <w:r w:rsidR="00C76E6E">
              <w:rPr>
                <w:rFonts w:ascii="Calibri" w:hAnsi="Calibri"/>
                <w:sz w:val="20"/>
                <w:szCs w:val="20"/>
              </w:rPr>
              <w:t>ill oversee the grant process (on the October docket) and monitor the grant, i</w:t>
            </w:r>
            <w:r>
              <w:rPr>
                <w:rFonts w:ascii="Calibri" w:hAnsi="Calibri"/>
                <w:sz w:val="20"/>
                <w:szCs w:val="20"/>
              </w:rPr>
              <w:t xml:space="preserve">n consultation with other members of the advisory group and related programs. </w:t>
            </w:r>
          </w:p>
        </w:tc>
      </w:tr>
      <w:tr w:rsidR="003830A8" w:rsidTr="003830A8">
        <w:trPr>
          <w:trHeight w:val="169"/>
        </w:trPr>
        <w:tc>
          <w:tcPr>
            <w:tcW w:w="2448" w:type="dxa"/>
            <w:tcBorders>
              <w:left w:val="nil"/>
              <w:right w:val="nil"/>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3830A8" w:rsidRPr="003830A8" w:rsidRDefault="003830A8" w:rsidP="00265071">
            <w:pPr>
              <w:spacing w:after="0"/>
              <w:rPr>
                <w:rFonts w:ascii="Calibri" w:hAnsi="Calibri"/>
                <w:sz w:val="20"/>
                <w:szCs w:val="20"/>
              </w:rPr>
            </w:pPr>
          </w:p>
        </w:tc>
      </w:tr>
      <w:tr w:rsidR="003830A8" w:rsidRPr="00AD6D6B" w:rsidTr="003830A8">
        <w:trPr>
          <w:trHeight w:val="229"/>
        </w:trPr>
        <w:tc>
          <w:tcPr>
            <w:tcW w:w="2448" w:type="dxa"/>
            <w:vMerge w:val="restart"/>
            <w:shd w:val="clear" w:color="auto" w:fill="auto"/>
            <w:tcMar>
              <w:top w:w="0" w:type="dxa"/>
              <w:left w:w="108" w:type="dxa"/>
              <w:bottom w:w="0" w:type="dxa"/>
              <w:right w:w="108" w:type="dxa"/>
            </w:tcMar>
            <w:hideMark/>
          </w:tcPr>
          <w:p w:rsidR="003830A8" w:rsidRPr="003830A8" w:rsidRDefault="003830A8" w:rsidP="00265071">
            <w:pPr>
              <w:spacing w:after="0"/>
              <w:rPr>
                <w:b/>
                <w:bCs/>
                <w:color w:val="262626"/>
              </w:rPr>
            </w:pPr>
            <w:r w:rsidRPr="003830A8">
              <w:rPr>
                <w:b/>
                <w:bCs/>
                <w:color w:val="262626"/>
              </w:rPr>
              <w:t>Approver (Lead)</w:t>
            </w:r>
          </w:p>
          <w:p w:rsidR="003830A8" w:rsidRPr="003830A8" w:rsidRDefault="003830A8" w:rsidP="00265071">
            <w:pPr>
              <w:spacing w:after="0"/>
              <w:rPr>
                <w:bCs/>
                <w:i/>
                <w:color w:val="262626"/>
                <w:sz w:val="16"/>
                <w:szCs w:val="16"/>
              </w:rPr>
            </w:pPr>
            <w:r w:rsidRPr="003830A8">
              <w:rPr>
                <w:bCs/>
                <w:i/>
                <w:color w:val="262626"/>
                <w:sz w:val="16"/>
                <w:szCs w:val="16"/>
              </w:rPr>
              <w:t xml:space="preserve">(See list on </w:t>
            </w:r>
            <w:hyperlink r:id="rId9"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auto"/>
            <w:tcMar>
              <w:top w:w="0" w:type="dxa"/>
              <w:left w:w="108" w:type="dxa"/>
              <w:bottom w:w="0" w:type="dxa"/>
              <w:right w:w="108" w:type="dxa"/>
            </w:tcMar>
          </w:tcPr>
          <w:p w:rsidR="003830A8" w:rsidRPr="003830A8" w:rsidRDefault="003830A8" w:rsidP="00265071">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auto"/>
          </w:tcPr>
          <w:p w:rsidR="003830A8" w:rsidRPr="003830A8" w:rsidRDefault="008D193F" w:rsidP="00265071">
            <w:pPr>
              <w:spacing w:after="0"/>
              <w:rPr>
                <w:rFonts w:ascii="Calibri" w:hAnsi="Calibri"/>
                <w:color w:val="262626"/>
                <w:sz w:val="20"/>
                <w:szCs w:val="20"/>
              </w:rPr>
            </w:pPr>
            <w:r>
              <w:rPr>
                <w:rFonts w:ascii="Calibri" w:hAnsi="Calibri"/>
                <w:color w:val="262626"/>
                <w:sz w:val="20"/>
                <w:szCs w:val="20"/>
              </w:rPr>
              <w:t xml:space="preserve"> James Goldston</w:t>
            </w:r>
          </w:p>
        </w:tc>
      </w:tr>
      <w:tr w:rsidR="003830A8" w:rsidRPr="00AD6D6B" w:rsidTr="003830A8">
        <w:trPr>
          <w:trHeight w:val="273"/>
        </w:trPr>
        <w:tc>
          <w:tcPr>
            <w:tcW w:w="2448" w:type="dxa"/>
            <w:vMerge/>
            <w:shd w:val="clear" w:color="auto" w:fill="auto"/>
            <w:tcMar>
              <w:top w:w="0" w:type="dxa"/>
              <w:left w:w="108" w:type="dxa"/>
              <w:bottom w:w="0" w:type="dxa"/>
              <w:right w:w="108" w:type="dxa"/>
            </w:tcMar>
          </w:tcPr>
          <w:p w:rsidR="003830A8" w:rsidRPr="003830A8" w:rsidRDefault="003830A8" w:rsidP="00265071">
            <w:pPr>
              <w:spacing w:after="0"/>
              <w:rPr>
                <w:b/>
                <w:bCs/>
                <w:color w:val="262626"/>
              </w:rPr>
            </w:pPr>
          </w:p>
        </w:tc>
        <w:tc>
          <w:tcPr>
            <w:tcW w:w="1525" w:type="dxa"/>
            <w:shd w:val="clear" w:color="auto" w:fill="auto"/>
            <w:tcMar>
              <w:top w:w="0" w:type="dxa"/>
              <w:left w:w="108" w:type="dxa"/>
              <w:bottom w:w="0" w:type="dxa"/>
              <w:right w:w="108" w:type="dxa"/>
            </w:tcMar>
          </w:tcPr>
          <w:p w:rsidR="003830A8" w:rsidRPr="003830A8" w:rsidRDefault="003830A8" w:rsidP="00265071">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auto"/>
          </w:tcPr>
          <w:p w:rsidR="003830A8" w:rsidRPr="003830A8" w:rsidRDefault="00665F88" w:rsidP="00265071">
            <w:pPr>
              <w:spacing w:after="0"/>
              <w:rPr>
                <w:rFonts w:ascii="Calibri" w:hAnsi="Calibri"/>
                <w:color w:val="262626"/>
                <w:sz w:val="20"/>
                <w:szCs w:val="20"/>
              </w:rPr>
            </w:pPr>
            <w:r>
              <w:rPr>
                <w:rFonts w:ascii="Calibri" w:hAnsi="Calibri"/>
                <w:color w:val="262626"/>
                <w:sz w:val="20"/>
                <w:szCs w:val="20"/>
              </w:rPr>
              <w:t>22 October 2015</w:t>
            </w:r>
          </w:p>
        </w:tc>
      </w:tr>
      <w:tr w:rsidR="003830A8" w:rsidRPr="00AD6D6B" w:rsidTr="00265071">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3830A8" w:rsidRDefault="003830A8" w:rsidP="00265071">
            <w:pPr>
              <w:spacing w:after="0"/>
              <w:rPr>
                <w:b/>
                <w:bCs/>
                <w:color w:val="262626"/>
              </w:rPr>
            </w:pPr>
            <w:r>
              <w:rPr>
                <w:b/>
                <w:bCs/>
                <w:color w:val="262626"/>
              </w:rPr>
              <w:t>Approver (Lead) Notes / Comments (Optional)</w:t>
            </w:r>
          </w:p>
          <w:p w:rsidR="003830A8" w:rsidRDefault="003830A8" w:rsidP="003830A8">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3830A8" w:rsidRPr="00AD6D6B" w:rsidRDefault="003830A8" w:rsidP="003830A8">
            <w:pPr>
              <w:spacing w:after="0"/>
              <w:rPr>
                <w:rFonts w:ascii="Calibri" w:hAnsi="Calibri"/>
                <w:color w:val="262626"/>
                <w:sz w:val="20"/>
                <w:szCs w:val="20"/>
              </w:rPr>
            </w:pPr>
          </w:p>
        </w:tc>
      </w:tr>
      <w:tr w:rsidR="003830A8" w:rsidRPr="00AD6D6B" w:rsidTr="003830A8">
        <w:trPr>
          <w:trHeight w:val="511"/>
        </w:trPr>
        <w:tc>
          <w:tcPr>
            <w:tcW w:w="2448" w:type="dxa"/>
            <w:tcMar>
              <w:top w:w="0" w:type="dxa"/>
              <w:left w:w="108" w:type="dxa"/>
              <w:bottom w:w="0" w:type="dxa"/>
              <w:right w:w="108" w:type="dxa"/>
            </w:tcMar>
          </w:tcPr>
          <w:p w:rsidR="003830A8" w:rsidRDefault="003830A8" w:rsidP="00265071">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3830A8" w:rsidRPr="00AD6D6B" w:rsidRDefault="009B2F2E" w:rsidP="00265071">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C76E6E">
                  <w:rPr>
                    <w:rFonts w:ascii="MS Gothic" w:eastAsia="MS Gothic" w:hAnsi="MS Gothic" w:hint="eastAsia"/>
                    <w:sz w:val="20"/>
                    <w:szCs w:val="20"/>
                  </w:rPr>
                  <w:t>☒</w:t>
                </w:r>
              </w:sdtContent>
            </w:sdt>
            <w:r w:rsidR="003830A8">
              <w:rPr>
                <w:sz w:val="20"/>
                <w:szCs w:val="20"/>
              </w:rPr>
              <w:t xml:space="preserve"> </w:t>
            </w:r>
            <w:r w:rsidR="003830A8" w:rsidRPr="00411B69">
              <w:rPr>
                <w:b/>
                <w:sz w:val="20"/>
                <w:szCs w:val="20"/>
                <w:u w:val="single"/>
              </w:rPr>
              <w:t>Not</w:t>
            </w:r>
            <w:r w:rsidR="003830A8">
              <w:rPr>
                <w:sz w:val="20"/>
                <w:szCs w:val="20"/>
              </w:rPr>
              <w:t xml:space="preserve"> Rapid Response </w:t>
            </w:r>
          </w:p>
        </w:tc>
        <w:tc>
          <w:tcPr>
            <w:tcW w:w="3574" w:type="dxa"/>
            <w:vAlign w:val="cente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10" w:history="1">
              <w:r w:rsidRPr="00411B69">
                <w:rPr>
                  <w:rStyle w:val="Hyperlink"/>
                  <w:bCs/>
                  <w:i/>
                  <w:sz w:val="16"/>
                  <w:szCs w:val="16"/>
                </w:rPr>
                <w:t>KARL</w:t>
              </w:r>
            </w:hyperlink>
            <w:r>
              <w:rPr>
                <w:bCs/>
                <w:i/>
                <w:color w:val="262626"/>
                <w:sz w:val="16"/>
                <w:szCs w:val="16"/>
              </w:rPr>
              <w:t>)</w:t>
            </w:r>
          </w:p>
        </w:tc>
      </w:tr>
      <w:tr w:rsidR="003830A8" w:rsidRPr="00AD6D6B" w:rsidTr="003830A8">
        <w:trPr>
          <w:trHeight w:val="287"/>
        </w:trPr>
        <w:tc>
          <w:tcPr>
            <w:tcW w:w="2448" w:type="dxa"/>
            <w:vMerge w:val="restart"/>
            <w:tcMar>
              <w:top w:w="0" w:type="dxa"/>
              <w:left w:w="108" w:type="dxa"/>
              <w:bottom w:w="0" w:type="dxa"/>
              <w:right w:w="108" w:type="dxa"/>
            </w:tcMar>
          </w:tcPr>
          <w:p w:rsidR="003830A8" w:rsidRDefault="003830A8" w:rsidP="00265071">
            <w:pPr>
              <w:spacing w:after="0"/>
              <w:rPr>
                <w:b/>
                <w:bCs/>
                <w:color w:val="262626"/>
              </w:rPr>
            </w:pPr>
            <w:r w:rsidRPr="006512F6">
              <w:rPr>
                <w:b/>
                <w:bCs/>
                <w:color w:val="262626"/>
              </w:rPr>
              <w:t xml:space="preserve">If approved, </w:t>
            </w:r>
            <w:r>
              <w:rPr>
                <w:b/>
                <w:bCs/>
                <w:color w:val="262626"/>
              </w:rPr>
              <w:t>where</w:t>
            </w:r>
            <w:r w:rsidRPr="006512F6">
              <w:rPr>
                <w:b/>
                <w:bCs/>
                <w:color w:val="262626"/>
              </w:rPr>
              <w:t xml:space="preserve"> </w:t>
            </w:r>
            <w:r>
              <w:rPr>
                <w:b/>
                <w:bCs/>
                <w:color w:val="262626"/>
              </w:rPr>
              <w:t xml:space="preserve">to allocate the </w:t>
            </w:r>
            <w:r w:rsidRPr="006512F6">
              <w:rPr>
                <w:b/>
                <w:bCs/>
                <w:color w:val="262626"/>
              </w:rPr>
              <w:t>budget?</w:t>
            </w:r>
            <w:r>
              <w:rPr>
                <w:b/>
                <w:bCs/>
                <w:color w:val="262626"/>
              </w:rPr>
              <w:t xml:space="preserve"> </w:t>
            </w:r>
          </w:p>
          <w:p w:rsidR="003830A8" w:rsidRPr="006512F6" w:rsidRDefault="003830A8" w:rsidP="00265071">
            <w:pPr>
              <w:spacing w:after="0"/>
              <w:rPr>
                <w:b/>
                <w:bCs/>
                <w:color w:val="262626"/>
              </w:rPr>
            </w:pPr>
            <w:r w:rsidRPr="00177042">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Amount</w:t>
            </w:r>
          </w:p>
        </w:tc>
        <w:tc>
          <w:tcPr>
            <w:tcW w:w="3574" w:type="dxa"/>
          </w:tcPr>
          <w:p w:rsidR="003830A8" w:rsidRPr="00AD6D6B" w:rsidRDefault="00545709" w:rsidP="00265071">
            <w:pPr>
              <w:pStyle w:val="ColorfulList-Accent11"/>
              <w:spacing w:after="0" w:line="240" w:lineRule="auto"/>
              <w:ind w:left="0"/>
              <w:rPr>
                <w:sz w:val="20"/>
                <w:szCs w:val="20"/>
              </w:rPr>
            </w:pPr>
            <w:r>
              <w:rPr>
                <w:sz w:val="20"/>
                <w:szCs w:val="20"/>
              </w:rPr>
              <w:t>$775,000</w:t>
            </w:r>
            <w:r w:rsidR="00DB5775">
              <w:rPr>
                <w:sz w:val="20"/>
                <w:szCs w:val="20"/>
              </w:rPr>
              <w:t>.00USD</w:t>
            </w:r>
            <w:r w:rsidR="00B2346F">
              <w:rPr>
                <w:sz w:val="20"/>
                <w:szCs w:val="20"/>
              </w:rPr>
              <w:t xml:space="preserve"> + $55,000</w:t>
            </w:r>
            <w:r w:rsidR="00C76E6E">
              <w:rPr>
                <w:sz w:val="20"/>
                <w:szCs w:val="20"/>
              </w:rPr>
              <w:t xml:space="preserve"> </w:t>
            </w:r>
            <w:r w:rsidR="00C76E6E" w:rsidRPr="00C76E6E">
              <w:rPr>
                <w:sz w:val="20"/>
                <w:szCs w:val="20"/>
                <w:highlight w:val="yellow"/>
              </w:rPr>
              <w:t>+ $140,000</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Category of Work</w:t>
            </w:r>
          </w:p>
        </w:tc>
        <w:tc>
          <w:tcPr>
            <w:tcW w:w="3574" w:type="dxa"/>
          </w:tcPr>
          <w:p w:rsidR="003830A8" w:rsidRPr="00AD6D6B" w:rsidRDefault="00DB5775" w:rsidP="00265071">
            <w:pPr>
              <w:pStyle w:val="ColorfulList-Accent11"/>
              <w:spacing w:after="0" w:line="240" w:lineRule="auto"/>
              <w:ind w:left="0"/>
              <w:rPr>
                <w:sz w:val="20"/>
                <w:szCs w:val="20"/>
              </w:rPr>
            </w:pPr>
            <w:r>
              <w:rPr>
                <w:sz w:val="20"/>
                <w:szCs w:val="20"/>
              </w:rPr>
              <w:t>SFS007 SHARED FRAMEWORK: Lethal Drones &amp; Targeted Killings</w:t>
            </w:r>
          </w:p>
        </w:tc>
      </w:tr>
      <w:tr w:rsidR="003830A8" w:rsidRPr="00AD6D6B" w:rsidTr="003830A8">
        <w:trPr>
          <w:trHeight w:val="287"/>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Division/Program Code</w:t>
            </w:r>
          </w:p>
        </w:tc>
        <w:tc>
          <w:tcPr>
            <w:tcW w:w="3574" w:type="dxa"/>
          </w:tcPr>
          <w:p w:rsidR="003830A8" w:rsidRPr="00AD6D6B" w:rsidRDefault="00545709" w:rsidP="00265071">
            <w:pPr>
              <w:pStyle w:val="ColorfulList-Accent11"/>
              <w:spacing w:after="0" w:line="240" w:lineRule="auto"/>
              <w:ind w:left="0"/>
              <w:rPr>
                <w:sz w:val="20"/>
                <w:szCs w:val="20"/>
              </w:rPr>
            </w:pPr>
            <w:r>
              <w:rPr>
                <w:sz w:val="20"/>
                <w:szCs w:val="20"/>
              </w:rPr>
              <w:t>21095.6</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Entity </w:t>
            </w:r>
            <w:r w:rsidRPr="00AD6D6B">
              <w:rPr>
                <w:i/>
                <w:sz w:val="20"/>
                <w:szCs w:val="20"/>
              </w:rPr>
              <w:t>(i.e., FPOS, ZUG)</w:t>
            </w:r>
          </w:p>
        </w:tc>
        <w:tc>
          <w:tcPr>
            <w:tcW w:w="3574" w:type="dxa"/>
          </w:tcPr>
          <w:p w:rsidR="003830A8" w:rsidRPr="00AD6D6B" w:rsidRDefault="00545709" w:rsidP="00265071">
            <w:pPr>
              <w:pStyle w:val="ColorfulList-Accent11"/>
              <w:spacing w:after="0" w:line="240" w:lineRule="auto"/>
              <w:ind w:left="0"/>
              <w:rPr>
                <w:sz w:val="20"/>
                <w:szCs w:val="20"/>
              </w:rPr>
            </w:pPr>
            <w:r>
              <w:rPr>
                <w:sz w:val="20"/>
                <w:szCs w:val="20"/>
              </w:rPr>
              <w:t>FPOS</w:t>
            </w:r>
          </w:p>
        </w:tc>
      </w:tr>
      <w:tr w:rsidR="003830A8" w:rsidRPr="00AD6D6B" w:rsidTr="003830A8">
        <w:trPr>
          <w:trHeight w:val="287"/>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574" w:type="dxa"/>
          </w:tcPr>
          <w:p w:rsidR="003830A8" w:rsidRPr="00AD6D6B" w:rsidRDefault="008D193F" w:rsidP="00265071">
            <w:pPr>
              <w:pStyle w:val="ColorfulList-Accent11"/>
              <w:spacing w:after="0" w:line="240" w:lineRule="auto"/>
              <w:ind w:left="0"/>
              <w:rPr>
                <w:sz w:val="20"/>
                <w:szCs w:val="20"/>
              </w:rPr>
            </w:pPr>
            <w:r>
              <w:rPr>
                <w:sz w:val="20"/>
                <w:szCs w:val="20"/>
              </w:rPr>
              <w:t>Non-lobbying</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574" w:type="dxa"/>
          </w:tcPr>
          <w:p w:rsidR="003830A8" w:rsidRPr="00AD6D6B" w:rsidRDefault="008D193F" w:rsidP="008D193F">
            <w:pPr>
              <w:pStyle w:val="ColorfulList-Accent11"/>
              <w:spacing w:after="0" w:line="240" w:lineRule="auto"/>
              <w:ind w:left="0"/>
              <w:rPr>
                <w:sz w:val="20"/>
                <w:szCs w:val="20"/>
              </w:rPr>
            </w:pPr>
            <w:r>
              <w:rPr>
                <w:sz w:val="20"/>
                <w:szCs w:val="20"/>
              </w:rPr>
              <w:t>U.S.-based grantees, but broader benefit to extend globally (including to Europe and areas of drone use)</w:t>
            </w:r>
          </w:p>
        </w:tc>
      </w:tr>
    </w:tbl>
    <w:p w:rsidR="003425C8" w:rsidRDefault="003425C8"/>
    <w:sectPr w:rsidR="003425C8" w:rsidSect="00220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2E" w:rsidRDefault="009B2F2E">
      <w:pPr>
        <w:spacing w:after="0" w:line="240" w:lineRule="auto"/>
      </w:pPr>
      <w:r>
        <w:separator/>
      </w:r>
    </w:p>
  </w:endnote>
  <w:endnote w:type="continuationSeparator" w:id="0">
    <w:p w:rsidR="009B2F2E" w:rsidRDefault="009B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71" w:rsidRPr="0022026F" w:rsidRDefault="0022026F" w:rsidP="001D14BC">
    <w:pPr>
      <w:pStyle w:val="Footer"/>
      <w:rPr>
        <w:sz w:val="16"/>
      </w:rPr>
    </w:pPr>
    <w:r>
      <w:rPr>
        <w:sz w:val="16"/>
      </w:rPr>
      <w:t>Shared Framework Reserve Funds Request Template_1April</w:t>
    </w:r>
    <w:r w:rsidRPr="006E72C5">
      <w:rPr>
        <w:sz w:val="16"/>
      </w:rPr>
      <w:t>2015</w:t>
    </w:r>
    <w:r w:rsidR="002650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2E" w:rsidRDefault="009B2F2E">
      <w:pPr>
        <w:spacing w:after="0" w:line="240" w:lineRule="auto"/>
      </w:pPr>
      <w:r>
        <w:separator/>
      </w:r>
    </w:p>
  </w:footnote>
  <w:footnote w:type="continuationSeparator" w:id="0">
    <w:p w:rsidR="009B2F2E" w:rsidRDefault="009B2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7FD6"/>
    <w:multiLevelType w:val="hybridMultilevel"/>
    <w:tmpl w:val="F0A0B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B158A"/>
    <w:multiLevelType w:val="hybridMultilevel"/>
    <w:tmpl w:val="F768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BE"/>
    <w:rsid w:val="00010B3D"/>
    <w:rsid w:val="00043AD5"/>
    <w:rsid w:val="00061927"/>
    <w:rsid w:val="00071ACF"/>
    <w:rsid w:val="00081462"/>
    <w:rsid w:val="000A6A95"/>
    <w:rsid w:val="000D5A72"/>
    <w:rsid w:val="000E4EF8"/>
    <w:rsid w:val="00173C1F"/>
    <w:rsid w:val="00175D1B"/>
    <w:rsid w:val="001B4E05"/>
    <w:rsid w:val="001B4FAE"/>
    <w:rsid w:val="001D14BC"/>
    <w:rsid w:val="001D409F"/>
    <w:rsid w:val="001D444E"/>
    <w:rsid w:val="001D77C4"/>
    <w:rsid w:val="0022026F"/>
    <w:rsid w:val="00221CFA"/>
    <w:rsid w:val="00222E71"/>
    <w:rsid w:val="00265071"/>
    <w:rsid w:val="00290C2A"/>
    <w:rsid w:val="002F079B"/>
    <w:rsid w:val="002F43E2"/>
    <w:rsid w:val="003104E4"/>
    <w:rsid w:val="00320F5A"/>
    <w:rsid w:val="00324F07"/>
    <w:rsid w:val="003425C8"/>
    <w:rsid w:val="00354C31"/>
    <w:rsid w:val="003830A8"/>
    <w:rsid w:val="00390E9F"/>
    <w:rsid w:val="003A0672"/>
    <w:rsid w:val="003E14DD"/>
    <w:rsid w:val="00465EDF"/>
    <w:rsid w:val="00491608"/>
    <w:rsid w:val="004962C1"/>
    <w:rsid w:val="00545709"/>
    <w:rsid w:val="00554D7E"/>
    <w:rsid w:val="00556B92"/>
    <w:rsid w:val="005673FE"/>
    <w:rsid w:val="005700E4"/>
    <w:rsid w:val="00583D9C"/>
    <w:rsid w:val="005B3EBA"/>
    <w:rsid w:val="00610237"/>
    <w:rsid w:val="006470F3"/>
    <w:rsid w:val="00665F88"/>
    <w:rsid w:val="0068704B"/>
    <w:rsid w:val="006B704C"/>
    <w:rsid w:val="006F6A54"/>
    <w:rsid w:val="00742966"/>
    <w:rsid w:val="00754994"/>
    <w:rsid w:val="007A144A"/>
    <w:rsid w:val="007C7D2D"/>
    <w:rsid w:val="007D3C6E"/>
    <w:rsid w:val="007F7672"/>
    <w:rsid w:val="008401C3"/>
    <w:rsid w:val="0084182A"/>
    <w:rsid w:val="00845D85"/>
    <w:rsid w:val="00850DE5"/>
    <w:rsid w:val="00852D78"/>
    <w:rsid w:val="00890664"/>
    <w:rsid w:val="008C1C47"/>
    <w:rsid w:val="008D193F"/>
    <w:rsid w:val="008E7898"/>
    <w:rsid w:val="00907546"/>
    <w:rsid w:val="00937EE8"/>
    <w:rsid w:val="0097164E"/>
    <w:rsid w:val="00971F8A"/>
    <w:rsid w:val="009B2F2E"/>
    <w:rsid w:val="00A61932"/>
    <w:rsid w:val="00A73FB8"/>
    <w:rsid w:val="00AE6597"/>
    <w:rsid w:val="00AF6E34"/>
    <w:rsid w:val="00B2346F"/>
    <w:rsid w:val="00B3135B"/>
    <w:rsid w:val="00B45EEE"/>
    <w:rsid w:val="00B66FB2"/>
    <w:rsid w:val="00B814A1"/>
    <w:rsid w:val="00B9294F"/>
    <w:rsid w:val="00B93D2B"/>
    <w:rsid w:val="00BB16DE"/>
    <w:rsid w:val="00C05FC7"/>
    <w:rsid w:val="00C472BB"/>
    <w:rsid w:val="00C76E6E"/>
    <w:rsid w:val="00C97E5A"/>
    <w:rsid w:val="00CB1E74"/>
    <w:rsid w:val="00CD1CF9"/>
    <w:rsid w:val="00CF5C79"/>
    <w:rsid w:val="00D65D31"/>
    <w:rsid w:val="00DB3A94"/>
    <w:rsid w:val="00DB475D"/>
    <w:rsid w:val="00DB5775"/>
    <w:rsid w:val="00DC515B"/>
    <w:rsid w:val="00E02470"/>
    <w:rsid w:val="00E075BE"/>
    <w:rsid w:val="00E0763A"/>
    <w:rsid w:val="00E2213F"/>
    <w:rsid w:val="00E47D21"/>
    <w:rsid w:val="00E93CA5"/>
    <w:rsid w:val="00EB28BB"/>
    <w:rsid w:val="00EC6032"/>
    <w:rsid w:val="00ED73C5"/>
    <w:rsid w:val="00EF3975"/>
    <w:rsid w:val="00F65538"/>
    <w:rsid w:val="00F745B5"/>
    <w:rsid w:val="00F86E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7840">
      <w:bodyDiv w:val="1"/>
      <w:marLeft w:val="0"/>
      <w:marRight w:val="0"/>
      <w:marTop w:val="0"/>
      <w:marBottom w:val="0"/>
      <w:divBdr>
        <w:top w:val="none" w:sz="0" w:space="0" w:color="auto"/>
        <w:left w:val="none" w:sz="0" w:space="0" w:color="auto"/>
        <w:bottom w:val="none" w:sz="0" w:space="0" w:color="auto"/>
        <w:right w:val="none" w:sz="0" w:space="0" w:color="auto"/>
      </w:divBdr>
    </w:div>
    <w:div w:id="929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94A6-D849-48CD-BF76-6DBD8829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Alexandra Lutoshkina</cp:lastModifiedBy>
  <cp:revision>2</cp:revision>
  <cp:lastPrinted>2015-10-20T14:40:00Z</cp:lastPrinted>
  <dcterms:created xsi:type="dcterms:W3CDTF">2015-10-23T23:11:00Z</dcterms:created>
  <dcterms:modified xsi:type="dcterms:W3CDTF">2015-10-23T23:11:00Z</dcterms:modified>
</cp:coreProperties>
</file>