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48"/>
        <w:gridCol w:w="1525"/>
        <w:gridCol w:w="2049"/>
        <w:gridCol w:w="3574"/>
      </w:tblGrid>
      <w:tr w:rsidR="003830A8" w:rsidTr="003830A8">
        <w:trPr>
          <w:trHeight w:val="350"/>
        </w:trPr>
        <w:tc>
          <w:tcPr>
            <w:tcW w:w="2448" w:type="dxa"/>
            <w:shd w:val="clear" w:color="auto" w:fill="auto"/>
            <w:tcMar>
              <w:top w:w="0" w:type="dxa"/>
              <w:left w:w="108" w:type="dxa"/>
              <w:bottom w:w="0" w:type="dxa"/>
              <w:right w:w="108" w:type="dxa"/>
            </w:tcMar>
            <w:hideMark/>
          </w:tcPr>
          <w:p w:rsidR="003830A8" w:rsidRPr="003830A8" w:rsidRDefault="003830A8" w:rsidP="00265071">
            <w:pPr>
              <w:spacing w:after="0"/>
              <w:rPr>
                <w:rFonts w:ascii="Calibri" w:hAnsi="Calibri"/>
                <w:b/>
                <w:bCs/>
                <w:color w:val="262626"/>
              </w:rPr>
            </w:pPr>
            <w:r w:rsidRPr="003830A8">
              <w:rPr>
                <w:b/>
                <w:bCs/>
                <w:color w:val="262626"/>
              </w:rPr>
              <w:t>Shared Framework Title</w:t>
            </w:r>
          </w:p>
        </w:tc>
        <w:tc>
          <w:tcPr>
            <w:tcW w:w="7148" w:type="dxa"/>
            <w:gridSpan w:val="3"/>
            <w:shd w:val="clear" w:color="auto" w:fill="auto"/>
            <w:tcMar>
              <w:top w:w="0" w:type="dxa"/>
              <w:left w:w="108" w:type="dxa"/>
              <w:bottom w:w="0" w:type="dxa"/>
              <w:right w:w="108" w:type="dxa"/>
            </w:tcMar>
          </w:tcPr>
          <w:p w:rsidR="003830A8" w:rsidRPr="003830A8" w:rsidRDefault="007C7D2D" w:rsidP="00265071">
            <w:pPr>
              <w:spacing w:after="0"/>
              <w:rPr>
                <w:rFonts w:ascii="Calibri" w:hAnsi="Calibri"/>
                <w:color w:val="262626"/>
                <w:sz w:val="20"/>
                <w:szCs w:val="20"/>
              </w:rPr>
            </w:pPr>
            <w:r>
              <w:rPr>
                <w:rFonts w:ascii="Calibri" w:hAnsi="Calibri"/>
                <w:color w:val="262626"/>
                <w:sz w:val="20"/>
                <w:szCs w:val="20"/>
              </w:rPr>
              <w:t>Drones and Targeted Killings</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Amount Requested</w:t>
            </w:r>
          </w:p>
        </w:tc>
        <w:tc>
          <w:tcPr>
            <w:tcW w:w="7148" w:type="dxa"/>
            <w:gridSpan w:val="3"/>
            <w:shd w:val="clear" w:color="auto" w:fill="auto"/>
            <w:tcMar>
              <w:top w:w="0" w:type="dxa"/>
              <w:left w:w="108" w:type="dxa"/>
              <w:bottom w:w="0" w:type="dxa"/>
              <w:right w:w="108" w:type="dxa"/>
            </w:tcMar>
          </w:tcPr>
          <w:p w:rsidR="003830A8" w:rsidRPr="003830A8" w:rsidRDefault="003C5211" w:rsidP="00265071">
            <w:pPr>
              <w:spacing w:after="0"/>
              <w:rPr>
                <w:rFonts w:ascii="Calibri" w:hAnsi="Calibri"/>
                <w:color w:val="262626"/>
                <w:sz w:val="20"/>
                <w:szCs w:val="20"/>
              </w:rPr>
            </w:pPr>
            <w:r>
              <w:rPr>
                <w:rFonts w:ascii="Calibri" w:hAnsi="Calibri"/>
                <w:color w:val="262626"/>
                <w:sz w:val="20"/>
                <w:szCs w:val="20"/>
              </w:rPr>
              <w:t>$55,000 addition</w:t>
            </w:r>
            <w:r w:rsidR="009F1512">
              <w:rPr>
                <w:rFonts w:ascii="Calibri" w:hAnsi="Calibri"/>
                <w:color w:val="262626"/>
                <w:sz w:val="20"/>
                <w:szCs w:val="20"/>
              </w:rPr>
              <w:t>al</w:t>
            </w:r>
            <w:bookmarkStart w:id="0" w:name="_GoBack"/>
            <w:bookmarkEnd w:id="0"/>
            <w:r>
              <w:rPr>
                <w:rFonts w:ascii="Calibri" w:hAnsi="Calibri"/>
                <w:color w:val="262626"/>
                <w:sz w:val="20"/>
                <w:szCs w:val="20"/>
              </w:rPr>
              <w:t xml:space="preserve"> ($830,000 total)</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Detail on Amount Requested (Optional)</w:t>
            </w:r>
          </w:p>
        </w:tc>
        <w:tc>
          <w:tcPr>
            <w:tcW w:w="7148" w:type="dxa"/>
            <w:gridSpan w:val="3"/>
            <w:shd w:val="clear" w:color="auto" w:fill="auto"/>
            <w:tcMar>
              <w:top w:w="0" w:type="dxa"/>
              <w:left w:w="108" w:type="dxa"/>
              <w:bottom w:w="0" w:type="dxa"/>
              <w:right w:w="108" w:type="dxa"/>
            </w:tcMar>
          </w:tcPr>
          <w:p w:rsidR="003830A8" w:rsidRPr="003830A8" w:rsidRDefault="008C1C47" w:rsidP="008C1C47">
            <w:pPr>
              <w:spacing w:after="0"/>
              <w:rPr>
                <w:rFonts w:ascii="Calibri" w:hAnsi="Calibri"/>
                <w:color w:val="262626"/>
                <w:sz w:val="20"/>
                <w:szCs w:val="20"/>
              </w:rPr>
            </w:pPr>
            <w:r w:rsidRPr="00396CE9">
              <w:rPr>
                <w:rFonts w:ascii="Calibri" w:hAnsi="Calibri"/>
                <w:sz w:val="20"/>
                <w:szCs w:val="20"/>
              </w:rPr>
              <w:t>USP received a transfer of $775,000. Upon developing some of the later grants, some adjustments in grantees and amounts raised the total needed to $830,000 as of August/September 2015. This amended allocation request accounts for the additional request of $55,000 and indicates where other changes in plans have been made.</w:t>
            </w:r>
            <w:r w:rsidR="00610237" w:rsidRPr="00396CE9">
              <w:rPr>
                <w:rFonts w:ascii="Calibri" w:hAnsi="Calibri"/>
                <w:sz w:val="20"/>
                <w:szCs w:val="20"/>
              </w:rPr>
              <w:t xml:space="preserve"> Current and projected spending of SF funds and USP contribution, as amended, is detailed further in the attached chart. </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Background (Optional)</w:t>
            </w:r>
          </w:p>
        </w:tc>
        <w:tc>
          <w:tcPr>
            <w:tcW w:w="7148" w:type="dxa"/>
            <w:gridSpan w:val="3"/>
            <w:shd w:val="clear" w:color="auto" w:fill="auto"/>
            <w:tcMar>
              <w:top w:w="0" w:type="dxa"/>
              <w:left w:w="108" w:type="dxa"/>
              <w:bottom w:w="0" w:type="dxa"/>
              <w:right w:w="108" w:type="dxa"/>
            </w:tcMar>
          </w:tcPr>
          <w:p w:rsidR="003830A8" w:rsidRPr="003830A8" w:rsidRDefault="007C7D2D" w:rsidP="00265071">
            <w:pPr>
              <w:spacing w:after="0"/>
              <w:rPr>
                <w:rFonts w:ascii="Calibri" w:hAnsi="Calibri"/>
                <w:color w:val="262626"/>
                <w:sz w:val="20"/>
                <w:szCs w:val="20"/>
                <w:lang w:val="pt-BR"/>
              </w:rPr>
            </w:pPr>
            <w:r>
              <w:rPr>
                <w:rFonts w:ascii="Calibri" w:hAnsi="Calibri"/>
                <w:color w:val="262626"/>
                <w:sz w:val="20"/>
                <w:szCs w:val="20"/>
                <w:lang w:val="pt-BR"/>
              </w:rPr>
              <w:t xml:space="preserve">These proposed grants respond to workplan discussions primarily in reference to goal 1 and build on existing grantee and field relationships of the National Security and Human Rights Campaign as well as DC, JI, and RPI. </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3830A8">
            <w:pPr>
              <w:spacing w:after="0"/>
              <w:rPr>
                <w:b/>
                <w:bCs/>
                <w:color w:val="262626"/>
              </w:rPr>
            </w:pPr>
            <w:r w:rsidRPr="003830A8">
              <w:rPr>
                <w:b/>
                <w:bCs/>
                <w:color w:val="262626"/>
              </w:rPr>
              <w:t>Summary of Plans and Relation to Overall Shared Framework Goals (100 words)</w:t>
            </w:r>
          </w:p>
        </w:tc>
        <w:tc>
          <w:tcPr>
            <w:tcW w:w="7148" w:type="dxa"/>
            <w:gridSpan w:val="3"/>
            <w:shd w:val="clear" w:color="auto" w:fill="auto"/>
            <w:tcMar>
              <w:top w:w="0" w:type="dxa"/>
              <w:left w:w="108" w:type="dxa"/>
              <w:bottom w:w="0" w:type="dxa"/>
              <w:right w:w="108" w:type="dxa"/>
            </w:tcMar>
          </w:tcPr>
          <w:p w:rsidR="003830A8" w:rsidRPr="003830A8" w:rsidRDefault="007C7D2D" w:rsidP="007C7D2D">
            <w:pPr>
              <w:spacing w:after="0"/>
              <w:rPr>
                <w:rFonts w:ascii="Calibri" w:hAnsi="Calibri"/>
                <w:color w:val="262626"/>
                <w:sz w:val="20"/>
                <w:szCs w:val="20"/>
                <w:lang w:val="pt-BR"/>
              </w:rPr>
            </w:pPr>
            <w:r>
              <w:rPr>
                <w:rFonts w:ascii="Calibri" w:hAnsi="Calibri"/>
                <w:color w:val="262626"/>
                <w:sz w:val="20"/>
                <w:szCs w:val="20"/>
                <w:lang w:val="pt-BR"/>
              </w:rPr>
              <w:t>The proposed grants would seek to: pry loose additional information about US policy and practice; document drone movement and capacities worldwide; litigate and conduct advocacy to directly challenge U.S. practices; develop policy proposals and engage in insider and outside advocacy in the U.S. to promote transparency and accountability</w:t>
            </w:r>
            <w:r w:rsidR="00390E9F">
              <w:rPr>
                <w:rFonts w:ascii="Calibri" w:hAnsi="Calibri"/>
                <w:color w:val="262626"/>
                <w:sz w:val="20"/>
                <w:szCs w:val="20"/>
                <w:lang w:val="pt-BR"/>
              </w:rPr>
              <w:t>, while developing some connections to work elsewhere. A limited amount of research on policy and an exploration of the cultural dimensions of drones and targeted killing would also be conducted</w:t>
            </w:r>
            <w:r>
              <w:rPr>
                <w:rFonts w:ascii="Calibri" w:hAnsi="Calibri"/>
                <w:color w:val="262626"/>
                <w:sz w:val="20"/>
                <w:szCs w:val="20"/>
                <w:lang w:val="pt-BR"/>
              </w:rPr>
              <w:t xml:space="preserve">. </w:t>
            </w:r>
            <w:r w:rsidR="00390E9F">
              <w:rPr>
                <w:rFonts w:ascii="Calibri" w:hAnsi="Calibri"/>
                <w:color w:val="262626"/>
                <w:sz w:val="20"/>
                <w:szCs w:val="20"/>
                <w:lang w:val="pt-BR"/>
              </w:rPr>
              <w:t xml:space="preserve">Although goal 2 may be advanced indirectly, this work is primarily directed to goal 1 and in specific cases to goal 3, with regard to U.S. policy and practice. </w:t>
            </w:r>
            <w:r>
              <w:rPr>
                <w:rFonts w:ascii="Calibri" w:hAnsi="Calibri"/>
                <w:color w:val="262626"/>
                <w:sz w:val="20"/>
                <w:szCs w:val="20"/>
                <w:lang w:val="pt-BR"/>
              </w:rPr>
              <w:t xml:space="preserve">See attached memo for additional detail. </w:t>
            </w:r>
          </w:p>
        </w:tc>
      </w:tr>
      <w:tr w:rsidR="003830A8" w:rsidTr="003830A8">
        <w:trPr>
          <w:trHeight w:val="20"/>
        </w:trPr>
        <w:tc>
          <w:tcPr>
            <w:tcW w:w="2448" w:type="dxa"/>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Activities Proposed (500 words)</w:t>
            </w:r>
          </w:p>
        </w:tc>
        <w:tc>
          <w:tcPr>
            <w:tcW w:w="7148" w:type="dxa"/>
            <w:gridSpan w:val="3"/>
            <w:shd w:val="clear" w:color="auto" w:fill="auto"/>
            <w:tcMar>
              <w:top w:w="0" w:type="dxa"/>
              <w:left w:w="108" w:type="dxa"/>
              <w:bottom w:w="0" w:type="dxa"/>
              <w:right w:w="108" w:type="dxa"/>
            </w:tcMar>
          </w:tcPr>
          <w:p w:rsidR="00DB475D" w:rsidRDefault="00DB475D" w:rsidP="00265071">
            <w:pPr>
              <w:spacing w:after="0"/>
              <w:rPr>
                <w:rFonts w:ascii="Calibri" w:hAnsi="Calibri"/>
                <w:color w:val="262626"/>
                <w:sz w:val="20"/>
                <w:szCs w:val="20"/>
                <w:lang w:val="pt-BR"/>
              </w:rPr>
            </w:pPr>
            <w:r>
              <w:rPr>
                <w:rFonts w:ascii="Calibri" w:hAnsi="Calibri"/>
                <w:color w:val="262626"/>
                <w:sz w:val="20"/>
                <w:szCs w:val="20"/>
                <w:lang w:val="pt-BR"/>
              </w:rPr>
              <w:t>Through grantmaking, support:</w:t>
            </w:r>
          </w:p>
          <w:p w:rsidR="003830A8" w:rsidRDefault="007C7D2D" w:rsidP="00265071">
            <w:pPr>
              <w:spacing w:after="0"/>
              <w:rPr>
                <w:rFonts w:ascii="Calibri" w:hAnsi="Calibri"/>
                <w:color w:val="262626"/>
                <w:sz w:val="20"/>
                <w:szCs w:val="20"/>
                <w:lang w:val="pt-BR"/>
              </w:rPr>
            </w:pPr>
            <w:r>
              <w:rPr>
                <w:rFonts w:ascii="Calibri" w:hAnsi="Calibri"/>
                <w:color w:val="262626"/>
                <w:sz w:val="20"/>
                <w:szCs w:val="20"/>
                <w:lang w:val="pt-BR"/>
              </w:rPr>
              <w:t>•Litigation on pending FOIA requests; additional, targeted FOIA work and related interviews (ACLU/NS Archive)</w:t>
            </w:r>
          </w:p>
          <w:p w:rsidR="007C7D2D" w:rsidRDefault="007C7D2D" w:rsidP="00265071">
            <w:pPr>
              <w:spacing w:after="0"/>
              <w:rPr>
                <w:rFonts w:ascii="Calibri" w:hAnsi="Calibri"/>
                <w:color w:val="262626"/>
                <w:sz w:val="20"/>
                <w:szCs w:val="20"/>
                <w:lang w:val="pt-BR"/>
              </w:rPr>
            </w:pPr>
            <w:r>
              <w:rPr>
                <w:rFonts w:ascii="Calibri" w:hAnsi="Calibri"/>
                <w:color w:val="262626"/>
                <w:sz w:val="20"/>
                <w:szCs w:val="20"/>
                <w:lang w:val="pt-BR"/>
              </w:rPr>
              <w:t>•Maintenance and expansion of “World of Drones” database</w:t>
            </w:r>
            <w:r w:rsidR="00DB475D">
              <w:rPr>
                <w:rFonts w:ascii="Calibri" w:hAnsi="Calibri"/>
                <w:color w:val="262626"/>
                <w:sz w:val="20"/>
                <w:szCs w:val="20"/>
                <w:lang w:val="pt-BR"/>
              </w:rPr>
              <w:t xml:space="preserve"> (New America)</w:t>
            </w:r>
          </w:p>
          <w:p w:rsidR="007C7D2D" w:rsidRDefault="007C7D2D" w:rsidP="00265071">
            <w:pPr>
              <w:spacing w:after="0"/>
              <w:rPr>
                <w:rFonts w:ascii="Calibri" w:hAnsi="Calibri"/>
                <w:color w:val="262626"/>
                <w:sz w:val="20"/>
                <w:szCs w:val="20"/>
                <w:lang w:val="pt-BR"/>
              </w:rPr>
            </w:pPr>
            <w:r>
              <w:rPr>
                <w:rFonts w:ascii="Calibri" w:hAnsi="Calibri"/>
                <w:color w:val="262626"/>
                <w:sz w:val="20"/>
                <w:szCs w:val="20"/>
                <w:lang w:val="pt-BR"/>
              </w:rPr>
              <w:t>•</w:t>
            </w:r>
            <w:r w:rsidR="00DB475D">
              <w:rPr>
                <w:rFonts w:ascii="Calibri" w:hAnsi="Calibri"/>
                <w:color w:val="262626"/>
                <w:sz w:val="20"/>
                <w:szCs w:val="20"/>
                <w:lang w:val="pt-BR"/>
              </w:rPr>
              <w:t>Litigation and advocacy directly challenging U.S. practice and collaboration (Reprieve)</w:t>
            </w:r>
          </w:p>
          <w:p w:rsidR="008C1C47" w:rsidRPr="00A950B7" w:rsidRDefault="008C1C47" w:rsidP="00265071">
            <w:pPr>
              <w:spacing w:after="0"/>
              <w:rPr>
                <w:rFonts w:ascii="Calibri" w:hAnsi="Calibri"/>
                <w:color w:val="262626"/>
                <w:sz w:val="20"/>
                <w:szCs w:val="20"/>
                <w:highlight w:val="yellow"/>
                <w:lang w:val="pt-BR"/>
              </w:rPr>
            </w:pPr>
            <w:r>
              <w:rPr>
                <w:rFonts w:ascii="Calibri" w:hAnsi="Calibri"/>
                <w:color w:val="262626"/>
                <w:sz w:val="20"/>
                <w:szCs w:val="20"/>
                <w:lang w:val="pt-BR"/>
              </w:rPr>
              <w:t>•</w:t>
            </w:r>
            <w:r w:rsidR="00610237" w:rsidRPr="00A950B7">
              <w:rPr>
                <w:rFonts w:ascii="Calibri" w:hAnsi="Calibri"/>
                <w:color w:val="262626"/>
                <w:sz w:val="20"/>
                <w:szCs w:val="20"/>
                <w:highlight w:val="yellow"/>
                <w:lang w:val="pt-BR"/>
              </w:rPr>
              <w:t xml:space="preserve">NEW: </w:t>
            </w:r>
            <w:r w:rsidRPr="00A950B7">
              <w:rPr>
                <w:rFonts w:ascii="Calibri" w:hAnsi="Calibri"/>
                <w:color w:val="262626"/>
                <w:sz w:val="20"/>
                <w:szCs w:val="20"/>
                <w:highlight w:val="yellow"/>
                <w:lang w:val="pt-BR"/>
              </w:rPr>
              <w:t>Research on viability/mechanism to control drone use – RAND Corp (projected for Sept/Oct)</w:t>
            </w:r>
            <w:r w:rsidR="00610237" w:rsidRPr="00A950B7">
              <w:rPr>
                <w:rFonts w:ascii="Calibri" w:hAnsi="Calibri"/>
                <w:color w:val="262626"/>
                <w:sz w:val="20"/>
                <w:szCs w:val="20"/>
                <w:highlight w:val="yellow"/>
                <w:lang w:val="pt-BR"/>
              </w:rPr>
              <w:t>. Some funds had been set aside for research for New America. We decided to go with RAND, which will seek $100,000.</w:t>
            </w:r>
          </w:p>
          <w:p w:rsidR="008C1C47" w:rsidRPr="00A950B7" w:rsidRDefault="008C1C47" w:rsidP="00265071">
            <w:pPr>
              <w:spacing w:after="0"/>
              <w:rPr>
                <w:rFonts w:ascii="Calibri" w:hAnsi="Calibri"/>
                <w:color w:val="262626"/>
                <w:sz w:val="20"/>
                <w:szCs w:val="20"/>
                <w:highlight w:val="yellow"/>
                <w:lang w:val="pt-BR"/>
              </w:rPr>
            </w:pPr>
            <w:r w:rsidRPr="00A950B7">
              <w:rPr>
                <w:rFonts w:ascii="Calibri" w:hAnsi="Calibri"/>
                <w:color w:val="262626"/>
                <w:sz w:val="20"/>
                <w:szCs w:val="20"/>
                <w:highlight w:val="yellow"/>
                <w:lang w:val="pt-BR"/>
              </w:rPr>
              <w:t>•</w:t>
            </w:r>
            <w:r w:rsidR="00610237" w:rsidRPr="00A950B7">
              <w:rPr>
                <w:rFonts w:ascii="Calibri" w:hAnsi="Calibri"/>
                <w:color w:val="262626"/>
                <w:sz w:val="20"/>
                <w:szCs w:val="20"/>
                <w:highlight w:val="yellow"/>
                <w:lang w:val="pt-BR"/>
              </w:rPr>
              <w:t xml:space="preserve">INCREASED GRANT AMOUNT: </w:t>
            </w:r>
            <w:r w:rsidRPr="00A950B7">
              <w:rPr>
                <w:rFonts w:ascii="Calibri" w:hAnsi="Calibri"/>
                <w:color w:val="262626"/>
                <w:sz w:val="20"/>
                <w:szCs w:val="20"/>
                <w:highlight w:val="yellow"/>
                <w:lang w:val="pt-BR"/>
              </w:rPr>
              <w:t xml:space="preserve">Policy advocacy, strengthening military/intelligence, industry voices, and some transatlantic work – Stimson Center </w:t>
            </w:r>
            <w:r w:rsidR="00610237" w:rsidRPr="00A950B7">
              <w:rPr>
                <w:rFonts w:ascii="Calibri" w:hAnsi="Calibri"/>
                <w:color w:val="262626"/>
                <w:sz w:val="20"/>
                <w:szCs w:val="20"/>
                <w:highlight w:val="yellow"/>
                <w:lang w:val="pt-BR"/>
              </w:rPr>
              <w:t>(incrased from planned $75,000 to $125,000) to allow grantee to focus on the work instead of fundraising.</w:t>
            </w:r>
          </w:p>
          <w:p w:rsidR="008C1C47" w:rsidRPr="00A950B7" w:rsidRDefault="008C1C47" w:rsidP="00265071">
            <w:pPr>
              <w:spacing w:after="0"/>
              <w:rPr>
                <w:rFonts w:ascii="Calibri" w:hAnsi="Calibri"/>
                <w:color w:val="262626"/>
                <w:sz w:val="20"/>
                <w:szCs w:val="20"/>
                <w:highlight w:val="yellow"/>
                <w:lang w:val="pt-BR"/>
              </w:rPr>
            </w:pPr>
            <w:r w:rsidRPr="00A950B7">
              <w:rPr>
                <w:rFonts w:ascii="Calibri" w:hAnsi="Calibri"/>
                <w:color w:val="262626"/>
                <w:sz w:val="20"/>
                <w:szCs w:val="20"/>
                <w:highlight w:val="yellow"/>
                <w:lang w:val="pt-BR"/>
              </w:rPr>
              <w:t>•</w:t>
            </w:r>
            <w:r w:rsidR="00610237" w:rsidRPr="00A950B7">
              <w:rPr>
                <w:rFonts w:ascii="Calibri" w:hAnsi="Calibri"/>
                <w:color w:val="262626"/>
                <w:sz w:val="20"/>
                <w:szCs w:val="20"/>
                <w:highlight w:val="yellow"/>
                <w:lang w:val="pt-BR"/>
              </w:rPr>
              <w:t xml:space="preserve">REVISED FOCUS: </w:t>
            </w:r>
            <w:r w:rsidRPr="00A950B7">
              <w:rPr>
                <w:rFonts w:ascii="Calibri" w:hAnsi="Calibri"/>
                <w:color w:val="262626"/>
                <w:sz w:val="20"/>
                <w:szCs w:val="20"/>
                <w:highlight w:val="yellow"/>
                <w:lang w:val="pt-BR"/>
              </w:rPr>
              <w:t>Research and advocacy: after-action investigation process, complicit state responsibility, redress for IHL violations, (confidential) work with foreign policy advisors – Columbia University Human Rights Institute (and associated Law Clinic) (projected for Sept/Oct)</w:t>
            </w:r>
          </w:p>
          <w:p w:rsidR="00610237" w:rsidRPr="00A950B7" w:rsidRDefault="00610237" w:rsidP="00265071">
            <w:pPr>
              <w:spacing w:after="0"/>
              <w:rPr>
                <w:rFonts w:ascii="Calibri" w:hAnsi="Calibri"/>
                <w:color w:val="262626"/>
                <w:sz w:val="20"/>
                <w:szCs w:val="20"/>
                <w:highlight w:val="yellow"/>
                <w:lang w:val="pt-BR"/>
              </w:rPr>
            </w:pPr>
            <w:r w:rsidRPr="00A950B7">
              <w:rPr>
                <w:rFonts w:ascii="Calibri" w:hAnsi="Calibri"/>
                <w:color w:val="262626"/>
                <w:sz w:val="20"/>
                <w:szCs w:val="20"/>
                <w:highlight w:val="yellow"/>
                <w:lang w:val="pt-BR"/>
              </w:rPr>
              <w:t xml:space="preserve">•ADDED: Research on the ‘Kill Chain’ – CorpWatch/Tides Center (projected for Sept/Oct) This is partially covered by the decision to drop the proposed grant to Paley (below), but requires additional funds to reach $75,000. </w:t>
            </w:r>
          </w:p>
          <w:p w:rsidR="00DB475D" w:rsidRDefault="00DB475D" w:rsidP="00DB475D">
            <w:pPr>
              <w:spacing w:after="0"/>
              <w:rPr>
                <w:rFonts w:ascii="Calibri" w:hAnsi="Calibri"/>
                <w:color w:val="262626"/>
                <w:sz w:val="20"/>
                <w:szCs w:val="20"/>
                <w:lang w:val="pt-BR"/>
              </w:rPr>
            </w:pPr>
            <w:r w:rsidRPr="00A950B7">
              <w:rPr>
                <w:rFonts w:ascii="Calibri" w:hAnsi="Calibri"/>
                <w:color w:val="262626"/>
                <w:sz w:val="20"/>
                <w:szCs w:val="20"/>
                <w:highlight w:val="yellow"/>
                <w:lang w:val="pt-BR"/>
              </w:rPr>
              <w:t>•</w:t>
            </w:r>
            <w:r w:rsidR="00610237" w:rsidRPr="00A950B7">
              <w:rPr>
                <w:rFonts w:ascii="Calibri" w:hAnsi="Calibri"/>
                <w:color w:val="262626"/>
                <w:sz w:val="20"/>
                <w:szCs w:val="20"/>
                <w:highlight w:val="yellow"/>
                <w:lang w:val="pt-BR"/>
              </w:rPr>
              <w:t xml:space="preserve">DECIDED AGAINST: </w:t>
            </w:r>
            <w:r w:rsidRPr="00A950B7">
              <w:rPr>
                <w:rFonts w:ascii="Calibri" w:hAnsi="Calibri"/>
                <w:color w:val="262626"/>
                <w:sz w:val="20"/>
                <w:szCs w:val="20"/>
                <w:highlight w:val="yellow"/>
                <w:lang w:val="pt-BR"/>
              </w:rPr>
              <w:t xml:space="preserve">Possible) cultural work on military technology and gaming, highlight </w:t>
            </w:r>
            <w:r w:rsidRPr="00A950B7">
              <w:rPr>
                <w:rFonts w:ascii="Calibri" w:hAnsi="Calibri"/>
                <w:i/>
                <w:color w:val="262626"/>
                <w:sz w:val="20"/>
                <w:szCs w:val="20"/>
                <w:highlight w:val="yellow"/>
                <w:lang w:val="pt-BR"/>
              </w:rPr>
              <w:t>DRONES</w:t>
            </w:r>
            <w:r w:rsidRPr="00A950B7">
              <w:rPr>
                <w:rFonts w:ascii="Calibri" w:hAnsi="Calibri"/>
                <w:color w:val="262626"/>
                <w:sz w:val="20"/>
                <w:szCs w:val="20"/>
                <w:highlight w:val="yellow"/>
                <w:lang w:val="pt-BR"/>
              </w:rPr>
              <w:t xml:space="preserve"> documentary, and conference for popular media, to aid policy advocacy on compensation (Paley Media Center</w:t>
            </w:r>
            <w:r w:rsidR="00A950B7">
              <w:rPr>
                <w:rFonts w:ascii="Calibri" w:hAnsi="Calibri"/>
                <w:color w:val="262626"/>
                <w:sz w:val="20"/>
                <w:szCs w:val="20"/>
                <w:lang w:val="pt-BR"/>
              </w:rPr>
              <w:t>)</w:t>
            </w:r>
            <w:r w:rsidR="008C1C47">
              <w:rPr>
                <w:rFonts w:ascii="Calibri" w:hAnsi="Calibri"/>
                <w:color w:val="262626"/>
                <w:sz w:val="20"/>
                <w:szCs w:val="20"/>
                <w:lang w:val="pt-BR"/>
              </w:rPr>
              <w:t xml:space="preserve"> </w:t>
            </w:r>
          </w:p>
          <w:p w:rsidR="00DB475D" w:rsidRPr="00DB475D" w:rsidRDefault="00DB475D" w:rsidP="00DB475D">
            <w:pPr>
              <w:spacing w:after="0"/>
              <w:rPr>
                <w:rFonts w:ascii="Calibri" w:hAnsi="Calibri"/>
                <w:color w:val="262626"/>
                <w:sz w:val="20"/>
                <w:szCs w:val="20"/>
                <w:lang w:val="pt-BR"/>
              </w:rPr>
            </w:pPr>
            <w:r>
              <w:rPr>
                <w:rFonts w:ascii="Calibri" w:hAnsi="Calibri"/>
                <w:color w:val="262626"/>
                <w:sz w:val="20"/>
                <w:szCs w:val="20"/>
                <w:lang w:val="pt-BR"/>
              </w:rPr>
              <w:t xml:space="preserve">•Organizing and advocacy to develop a stronger ethical voice on drones in the US </w:t>
            </w:r>
            <w:r>
              <w:rPr>
                <w:rFonts w:ascii="Calibri" w:hAnsi="Calibri"/>
                <w:color w:val="262626"/>
                <w:sz w:val="20"/>
                <w:szCs w:val="20"/>
                <w:lang w:val="pt-BR"/>
              </w:rPr>
              <w:lastRenderedPageBreak/>
              <w:t>religious community (Peace Action Education Fund</w:t>
            </w:r>
          </w:p>
          <w:p w:rsidR="00DB475D" w:rsidRPr="003830A8" w:rsidRDefault="00DB475D" w:rsidP="00DB475D">
            <w:pPr>
              <w:spacing w:after="0"/>
              <w:rPr>
                <w:rFonts w:ascii="Calibri" w:hAnsi="Calibri"/>
                <w:color w:val="262626"/>
                <w:sz w:val="20"/>
                <w:szCs w:val="20"/>
                <w:lang w:val="pt-BR"/>
              </w:rPr>
            </w:pP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lastRenderedPageBreak/>
              <w:t>Summary for Board Reports (100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3830A8" w:rsidRDefault="00DB475D" w:rsidP="00610237">
            <w:pPr>
              <w:spacing w:after="0"/>
              <w:rPr>
                <w:rFonts w:ascii="Calibri" w:hAnsi="Calibri"/>
                <w:sz w:val="20"/>
                <w:szCs w:val="20"/>
              </w:rPr>
            </w:pPr>
            <w:r>
              <w:rPr>
                <w:rFonts w:ascii="Calibri" w:hAnsi="Calibri"/>
                <w:sz w:val="20"/>
                <w:szCs w:val="20"/>
              </w:rPr>
              <w:t xml:space="preserve">This allocation to US Programs would provide up to $775,000 of </w:t>
            </w:r>
            <w:proofErr w:type="spellStart"/>
            <w:r w:rsidR="00390E9F">
              <w:rPr>
                <w:rFonts w:ascii="Calibri" w:hAnsi="Calibri"/>
                <w:sz w:val="20"/>
                <w:szCs w:val="20"/>
              </w:rPr>
              <w:t>grantmaking</w:t>
            </w:r>
            <w:proofErr w:type="spellEnd"/>
            <w:r w:rsidR="00390E9F">
              <w:rPr>
                <w:rFonts w:ascii="Calibri" w:hAnsi="Calibri"/>
                <w:sz w:val="20"/>
                <w:szCs w:val="20"/>
              </w:rPr>
              <w:t xml:space="preserve"> </w:t>
            </w:r>
            <w:r>
              <w:rPr>
                <w:rFonts w:ascii="Calibri" w:hAnsi="Calibri"/>
                <w:sz w:val="20"/>
                <w:szCs w:val="20"/>
              </w:rPr>
              <w:t>support and leverage another $</w:t>
            </w:r>
            <w:r w:rsidR="00610237">
              <w:rPr>
                <w:rFonts w:ascii="Calibri" w:hAnsi="Calibri"/>
                <w:sz w:val="20"/>
                <w:szCs w:val="20"/>
              </w:rPr>
              <w:t>350</w:t>
            </w:r>
            <w:r>
              <w:rPr>
                <w:rFonts w:ascii="Calibri" w:hAnsi="Calibri"/>
                <w:sz w:val="20"/>
                <w:szCs w:val="20"/>
              </w:rPr>
              <w:t xml:space="preserve">,000 from US Programs, </w:t>
            </w:r>
            <w:r w:rsidR="00390E9F">
              <w:rPr>
                <w:rFonts w:ascii="Calibri" w:hAnsi="Calibri"/>
                <w:sz w:val="20"/>
                <w:szCs w:val="20"/>
              </w:rPr>
              <w:t xml:space="preserve">primarily to U.S. organizations, </w:t>
            </w:r>
            <w:r>
              <w:rPr>
                <w:rFonts w:ascii="Calibri" w:hAnsi="Calibri"/>
                <w:sz w:val="20"/>
                <w:szCs w:val="20"/>
              </w:rPr>
              <w:t xml:space="preserve">to maintain pressure on the U.S. to improve transparency and accountability of its drone policy (goal 1) and to </w:t>
            </w:r>
            <w:r w:rsidR="008D193F">
              <w:rPr>
                <w:rFonts w:ascii="Calibri" w:hAnsi="Calibri"/>
                <w:sz w:val="20"/>
                <w:szCs w:val="20"/>
              </w:rPr>
              <w:t xml:space="preserve">aid the effort to highlight victims’ voices and sensitize the U.S. for more thorough after-action investigations and </w:t>
            </w:r>
            <w:r>
              <w:rPr>
                <w:rFonts w:ascii="Calibri" w:hAnsi="Calibri"/>
                <w:sz w:val="20"/>
                <w:szCs w:val="20"/>
              </w:rPr>
              <w:t xml:space="preserve">compensation </w:t>
            </w:r>
            <w:r w:rsidR="008D193F">
              <w:rPr>
                <w:rFonts w:ascii="Calibri" w:hAnsi="Calibri"/>
                <w:sz w:val="20"/>
                <w:szCs w:val="20"/>
              </w:rPr>
              <w:t xml:space="preserve">policy (goal 3), while building credible voices for restraint among a range of US experts and religious groups. </w:t>
            </w:r>
            <w:r w:rsidR="00390E9F">
              <w:rPr>
                <w:rFonts w:ascii="Calibri" w:hAnsi="Calibri"/>
                <w:sz w:val="20"/>
                <w:szCs w:val="20"/>
              </w:rPr>
              <w:t xml:space="preserve">We expect that this work will connect well to efforts in other parts of the world – supplying information that will serve the larger project and preparing the ground to be sensitive to external pressures on the issue – that will grow over the course of the SF. </w:t>
            </w:r>
            <w:r w:rsidR="00610237" w:rsidRPr="00A950B7">
              <w:rPr>
                <w:rFonts w:ascii="Calibri" w:hAnsi="Calibri"/>
                <w:sz w:val="20"/>
                <w:szCs w:val="20"/>
                <w:highlight w:val="yellow"/>
              </w:rPr>
              <w:t>An additional $55,000 would accommodate the changed highlighted above.</w:t>
            </w:r>
            <w:r w:rsidR="00610237">
              <w:rPr>
                <w:rFonts w:ascii="Calibri" w:hAnsi="Calibri"/>
                <w:sz w:val="20"/>
                <w:szCs w:val="20"/>
              </w:rPr>
              <w:t xml:space="preserve"> </w:t>
            </w: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Collaborating Programs within OSF and essential partners or grantees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3830A8" w:rsidRDefault="008D193F" w:rsidP="00610237">
            <w:pPr>
              <w:spacing w:after="0"/>
              <w:rPr>
                <w:rFonts w:ascii="Calibri" w:hAnsi="Calibri"/>
                <w:sz w:val="20"/>
                <w:szCs w:val="20"/>
              </w:rPr>
            </w:pPr>
            <w:r>
              <w:rPr>
                <w:rFonts w:ascii="Calibri" w:hAnsi="Calibri"/>
                <w:sz w:val="20"/>
                <w:szCs w:val="20"/>
              </w:rPr>
              <w:t>Financial collaboration: US Programs ($</w:t>
            </w:r>
            <w:r w:rsidR="00610237">
              <w:rPr>
                <w:rFonts w:ascii="Calibri" w:hAnsi="Calibri"/>
                <w:sz w:val="20"/>
                <w:szCs w:val="20"/>
              </w:rPr>
              <w:t>350</w:t>
            </w:r>
            <w:r>
              <w:rPr>
                <w:rFonts w:ascii="Calibri" w:hAnsi="Calibri"/>
                <w:sz w:val="20"/>
                <w:szCs w:val="20"/>
              </w:rPr>
              <w:t xml:space="preserve">,000) plus ongoing advocacy work of grantees Human Rights First, National Security Initiative, and </w:t>
            </w:r>
            <w:r w:rsidRPr="008D193F">
              <w:rPr>
                <w:rFonts w:ascii="Calibri" w:hAnsi="Calibri"/>
                <w:i/>
                <w:sz w:val="20"/>
                <w:szCs w:val="20"/>
              </w:rPr>
              <w:t>Just Security</w:t>
            </w:r>
            <w:r>
              <w:rPr>
                <w:rFonts w:ascii="Calibri" w:hAnsi="Calibri"/>
                <w:sz w:val="20"/>
                <w:szCs w:val="20"/>
              </w:rPr>
              <w:t xml:space="preserve">, among others. HRI would contribute to the Reprieve grant ($50,000) and also supports related work by Amnesty and HRW. The other groups involved in the SF would collaborate through input and participation in meetings, events, and monitoring of the work. For proposed grantees, see above. </w:t>
            </w: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Contributions expected from Collaborating Programs (250 words)</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3830A8" w:rsidRDefault="008D193F" w:rsidP="00265071">
            <w:pPr>
              <w:spacing w:after="0"/>
              <w:rPr>
                <w:rFonts w:ascii="Calibri" w:hAnsi="Calibri"/>
                <w:sz w:val="20"/>
                <w:szCs w:val="20"/>
              </w:rPr>
            </w:pPr>
            <w:r>
              <w:rPr>
                <w:rFonts w:ascii="Calibri" w:hAnsi="Calibri"/>
                <w:sz w:val="20"/>
                <w:szCs w:val="20"/>
              </w:rPr>
              <w:t>See above.</w:t>
            </w:r>
          </w:p>
        </w:tc>
      </w:tr>
      <w:tr w:rsidR="003830A8" w:rsidTr="003830A8">
        <w:trPr>
          <w:trHeight w:val="20"/>
        </w:trPr>
        <w:tc>
          <w:tcPr>
            <w:tcW w:w="2448" w:type="dxa"/>
            <w:tcBorders>
              <w:bottom w:val="single" w:sz="8" w:space="0" w:color="auto"/>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r w:rsidRPr="003830A8">
              <w:rPr>
                <w:b/>
                <w:bCs/>
                <w:color w:val="262626"/>
              </w:rPr>
              <w:t>Statement of who within OSF would guide the work</w:t>
            </w:r>
          </w:p>
        </w:tc>
        <w:tc>
          <w:tcPr>
            <w:tcW w:w="7148" w:type="dxa"/>
            <w:gridSpan w:val="3"/>
            <w:tcBorders>
              <w:bottom w:val="single" w:sz="8" w:space="0" w:color="auto"/>
            </w:tcBorders>
            <w:shd w:val="clear" w:color="auto" w:fill="auto"/>
            <w:tcMar>
              <w:top w:w="0" w:type="dxa"/>
              <w:left w:w="108" w:type="dxa"/>
              <w:bottom w:w="0" w:type="dxa"/>
              <w:right w:w="108" w:type="dxa"/>
            </w:tcMar>
          </w:tcPr>
          <w:p w:rsidR="003830A8" w:rsidRPr="003830A8" w:rsidRDefault="008D193F" w:rsidP="00265071">
            <w:pPr>
              <w:spacing w:after="0"/>
              <w:rPr>
                <w:rFonts w:ascii="Calibri" w:hAnsi="Calibri"/>
                <w:sz w:val="20"/>
                <w:szCs w:val="20"/>
              </w:rPr>
            </w:pPr>
            <w:r>
              <w:rPr>
                <w:rFonts w:ascii="Calibri" w:hAnsi="Calibri"/>
                <w:sz w:val="20"/>
                <w:szCs w:val="20"/>
              </w:rPr>
              <w:t xml:space="preserve">Lisa Magarrell (USP) would oversee the </w:t>
            </w:r>
            <w:proofErr w:type="spellStart"/>
            <w:r>
              <w:rPr>
                <w:rFonts w:ascii="Calibri" w:hAnsi="Calibri"/>
                <w:sz w:val="20"/>
                <w:szCs w:val="20"/>
              </w:rPr>
              <w:t>grantmaking</w:t>
            </w:r>
            <w:proofErr w:type="spellEnd"/>
            <w:r>
              <w:rPr>
                <w:rFonts w:ascii="Calibri" w:hAnsi="Calibri"/>
                <w:sz w:val="20"/>
                <w:szCs w:val="20"/>
              </w:rPr>
              <w:t xml:space="preserve"> and would guide the work in consultation with other members of the advisory group and related programs. </w:t>
            </w:r>
          </w:p>
        </w:tc>
      </w:tr>
      <w:tr w:rsidR="003830A8" w:rsidTr="003830A8">
        <w:trPr>
          <w:trHeight w:val="169"/>
        </w:trPr>
        <w:tc>
          <w:tcPr>
            <w:tcW w:w="2448" w:type="dxa"/>
            <w:tcBorders>
              <w:left w:val="nil"/>
              <w:right w:val="nil"/>
            </w:tcBorders>
            <w:shd w:val="clear" w:color="auto" w:fill="auto"/>
            <w:tcMar>
              <w:top w:w="0" w:type="dxa"/>
              <w:left w:w="108" w:type="dxa"/>
              <w:bottom w:w="0" w:type="dxa"/>
              <w:right w:w="108" w:type="dxa"/>
            </w:tcMar>
          </w:tcPr>
          <w:p w:rsidR="003830A8" w:rsidRPr="003830A8" w:rsidRDefault="003830A8" w:rsidP="00265071">
            <w:pPr>
              <w:spacing w:after="0"/>
              <w:rPr>
                <w:b/>
                <w:bCs/>
                <w:color w:val="262626"/>
              </w:rPr>
            </w:pPr>
          </w:p>
        </w:tc>
        <w:tc>
          <w:tcPr>
            <w:tcW w:w="7148" w:type="dxa"/>
            <w:gridSpan w:val="3"/>
            <w:tcBorders>
              <w:left w:val="nil"/>
              <w:right w:val="nil"/>
            </w:tcBorders>
            <w:shd w:val="clear" w:color="auto" w:fill="auto"/>
            <w:tcMar>
              <w:top w:w="0" w:type="dxa"/>
              <w:left w:w="108" w:type="dxa"/>
              <w:bottom w:w="0" w:type="dxa"/>
              <w:right w:w="108" w:type="dxa"/>
            </w:tcMar>
          </w:tcPr>
          <w:p w:rsidR="003830A8" w:rsidRPr="003830A8" w:rsidRDefault="003830A8" w:rsidP="00265071">
            <w:pPr>
              <w:spacing w:after="0"/>
              <w:rPr>
                <w:rFonts w:ascii="Calibri" w:hAnsi="Calibri"/>
                <w:sz w:val="20"/>
                <w:szCs w:val="20"/>
              </w:rPr>
            </w:pPr>
          </w:p>
        </w:tc>
      </w:tr>
      <w:tr w:rsidR="003830A8" w:rsidRPr="00AD6D6B" w:rsidTr="003830A8">
        <w:trPr>
          <w:trHeight w:val="229"/>
        </w:trPr>
        <w:tc>
          <w:tcPr>
            <w:tcW w:w="2448" w:type="dxa"/>
            <w:vMerge w:val="restart"/>
            <w:shd w:val="clear" w:color="auto" w:fill="auto"/>
            <w:tcMar>
              <w:top w:w="0" w:type="dxa"/>
              <w:left w:w="108" w:type="dxa"/>
              <w:bottom w:w="0" w:type="dxa"/>
              <w:right w:w="108" w:type="dxa"/>
            </w:tcMar>
            <w:hideMark/>
          </w:tcPr>
          <w:p w:rsidR="003830A8" w:rsidRPr="003830A8" w:rsidRDefault="003830A8" w:rsidP="00265071">
            <w:pPr>
              <w:spacing w:after="0"/>
              <w:rPr>
                <w:b/>
                <w:bCs/>
                <w:color w:val="262626"/>
              </w:rPr>
            </w:pPr>
            <w:r w:rsidRPr="003830A8">
              <w:rPr>
                <w:b/>
                <w:bCs/>
                <w:color w:val="262626"/>
              </w:rPr>
              <w:t>Approver (Lead)</w:t>
            </w:r>
          </w:p>
          <w:p w:rsidR="003830A8" w:rsidRPr="003830A8" w:rsidRDefault="003830A8" w:rsidP="00265071">
            <w:pPr>
              <w:spacing w:after="0"/>
              <w:rPr>
                <w:bCs/>
                <w:i/>
                <w:color w:val="262626"/>
                <w:sz w:val="16"/>
                <w:szCs w:val="16"/>
              </w:rPr>
            </w:pPr>
            <w:r w:rsidRPr="003830A8">
              <w:rPr>
                <w:bCs/>
                <w:i/>
                <w:color w:val="262626"/>
                <w:sz w:val="16"/>
                <w:szCs w:val="16"/>
              </w:rPr>
              <w:t xml:space="preserve">(See list on </w:t>
            </w:r>
            <w:hyperlink r:id="rId9" w:history="1">
              <w:r w:rsidRPr="003830A8">
                <w:rPr>
                  <w:rStyle w:val="Hyperlink"/>
                  <w:bCs/>
                  <w:i/>
                  <w:sz w:val="16"/>
                  <w:szCs w:val="16"/>
                </w:rPr>
                <w:t>Reserve Funds KARL</w:t>
              </w:r>
            </w:hyperlink>
            <w:r w:rsidRPr="003830A8">
              <w:rPr>
                <w:bCs/>
                <w:i/>
                <w:color w:val="262626"/>
                <w:sz w:val="16"/>
                <w:szCs w:val="16"/>
              </w:rPr>
              <w:t>)</w:t>
            </w:r>
          </w:p>
        </w:tc>
        <w:tc>
          <w:tcPr>
            <w:tcW w:w="1525" w:type="dxa"/>
            <w:shd w:val="clear" w:color="auto" w:fill="auto"/>
            <w:tcMar>
              <w:top w:w="0" w:type="dxa"/>
              <w:left w:w="108" w:type="dxa"/>
              <w:bottom w:w="0" w:type="dxa"/>
              <w:right w:w="108" w:type="dxa"/>
            </w:tcMar>
          </w:tcPr>
          <w:p w:rsidR="003830A8" w:rsidRPr="003830A8" w:rsidRDefault="003830A8" w:rsidP="00265071">
            <w:pPr>
              <w:spacing w:after="0"/>
              <w:rPr>
                <w:rFonts w:ascii="Calibri" w:hAnsi="Calibri"/>
                <w:color w:val="262626"/>
                <w:sz w:val="20"/>
                <w:szCs w:val="20"/>
              </w:rPr>
            </w:pPr>
            <w:r w:rsidRPr="003830A8">
              <w:rPr>
                <w:rFonts w:ascii="Calibri" w:hAnsi="Calibri"/>
                <w:color w:val="262626"/>
                <w:sz w:val="20"/>
                <w:szCs w:val="20"/>
              </w:rPr>
              <w:t>Name</w:t>
            </w:r>
          </w:p>
        </w:tc>
        <w:tc>
          <w:tcPr>
            <w:tcW w:w="5623" w:type="dxa"/>
            <w:gridSpan w:val="2"/>
            <w:shd w:val="clear" w:color="auto" w:fill="auto"/>
          </w:tcPr>
          <w:p w:rsidR="003830A8" w:rsidRPr="003830A8" w:rsidRDefault="008D193F" w:rsidP="00265071">
            <w:pPr>
              <w:spacing w:after="0"/>
              <w:rPr>
                <w:rFonts w:ascii="Calibri" w:hAnsi="Calibri"/>
                <w:color w:val="262626"/>
                <w:sz w:val="20"/>
                <w:szCs w:val="20"/>
              </w:rPr>
            </w:pPr>
            <w:r>
              <w:rPr>
                <w:rFonts w:ascii="Calibri" w:hAnsi="Calibri"/>
                <w:color w:val="262626"/>
                <w:sz w:val="20"/>
                <w:szCs w:val="20"/>
              </w:rPr>
              <w:t xml:space="preserve"> James Goldston</w:t>
            </w:r>
          </w:p>
        </w:tc>
      </w:tr>
      <w:tr w:rsidR="003830A8" w:rsidRPr="00AD6D6B" w:rsidTr="003830A8">
        <w:trPr>
          <w:trHeight w:val="273"/>
        </w:trPr>
        <w:tc>
          <w:tcPr>
            <w:tcW w:w="2448" w:type="dxa"/>
            <w:vMerge/>
            <w:shd w:val="clear" w:color="auto" w:fill="auto"/>
            <w:tcMar>
              <w:top w:w="0" w:type="dxa"/>
              <w:left w:w="108" w:type="dxa"/>
              <w:bottom w:w="0" w:type="dxa"/>
              <w:right w:w="108" w:type="dxa"/>
            </w:tcMar>
          </w:tcPr>
          <w:p w:rsidR="003830A8" w:rsidRPr="003830A8" w:rsidRDefault="003830A8" w:rsidP="00265071">
            <w:pPr>
              <w:spacing w:after="0"/>
              <w:rPr>
                <w:b/>
                <w:bCs/>
                <w:color w:val="262626"/>
              </w:rPr>
            </w:pPr>
          </w:p>
        </w:tc>
        <w:tc>
          <w:tcPr>
            <w:tcW w:w="1525" w:type="dxa"/>
            <w:shd w:val="clear" w:color="auto" w:fill="auto"/>
            <w:tcMar>
              <w:top w:w="0" w:type="dxa"/>
              <w:left w:w="108" w:type="dxa"/>
              <w:bottom w:w="0" w:type="dxa"/>
              <w:right w:w="108" w:type="dxa"/>
            </w:tcMar>
          </w:tcPr>
          <w:p w:rsidR="003830A8" w:rsidRPr="003830A8" w:rsidRDefault="003830A8" w:rsidP="00265071">
            <w:pPr>
              <w:spacing w:after="0"/>
              <w:rPr>
                <w:rFonts w:ascii="Calibri" w:hAnsi="Calibri"/>
                <w:color w:val="262626"/>
                <w:sz w:val="20"/>
                <w:szCs w:val="20"/>
              </w:rPr>
            </w:pPr>
            <w:r w:rsidRPr="003830A8">
              <w:rPr>
                <w:rFonts w:ascii="Calibri" w:hAnsi="Calibri"/>
                <w:color w:val="262626"/>
                <w:sz w:val="20"/>
                <w:szCs w:val="20"/>
              </w:rPr>
              <w:t>Date Approved</w:t>
            </w:r>
          </w:p>
        </w:tc>
        <w:tc>
          <w:tcPr>
            <w:tcW w:w="5623" w:type="dxa"/>
            <w:gridSpan w:val="2"/>
            <w:shd w:val="clear" w:color="auto" w:fill="auto"/>
          </w:tcPr>
          <w:p w:rsidR="003830A8" w:rsidRPr="003830A8" w:rsidRDefault="00B66FB2" w:rsidP="00265071">
            <w:pPr>
              <w:spacing w:after="0"/>
              <w:rPr>
                <w:rFonts w:ascii="Calibri" w:hAnsi="Calibri"/>
                <w:color w:val="262626"/>
                <w:sz w:val="20"/>
                <w:szCs w:val="20"/>
              </w:rPr>
            </w:pPr>
            <w:r>
              <w:rPr>
                <w:rFonts w:ascii="Calibri" w:hAnsi="Calibri"/>
                <w:color w:val="262626"/>
                <w:sz w:val="20"/>
                <w:szCs w:val="20"/>
              </w:rPr>
              <w:t>5 May 2015</w:t>
            </w:r>
            <w:r w:rsidR="00277346">
              <w:rPr>
                <w:rFonts w:ascii="Calibri" w:hAnsi="Calibri"/>
                <w:color w:val="262626"/>
                <w:sz w:val="20"/>
                <w:szCs w:val="20"/>
              </w:rPr>
              <w:t xml:space="preserve">; </w:t>
            </w:r>
            <w:r w:rsidR="00277346" w:rsidRPr="00277346">
              <w:rPr>
                <w:rFonts w:ascii="Calibri" w:hAnsi="Calibri"/>
                <w:color w:val="262626"/>
                <w:sz w:val="20"/>
                <w:szCs w:val="20"/>
                <w:highlight w:val="yellow"/>
              </w:rPr>
              <w:t>Additional funds: 3 September 2015</w:t>
            </w:r>
          </w:p>
        </w:tc>
      </w:tr>
      <w:tr w:rsidR="003830A8" w:rsidRPr="00AD6D6B" w:rsidTr="00265071">
        <w:tblPrEx>
          <w:shd w:val="clear" w:color="auto" w:fill="CCFFCC"/>
        </w:tblPrEx>
        <w:trPr>
          <w:trHeight w:val="1241"/>
        </w:trPr>
        <w:tc>
          <w:tcPr>
            <w:tcW w:w="2448" w:type="dxa"/>
            <w:shd w:val="clear" w:color="auto" w:fill="CCFFCC"/>
            <w:tcMar>
              <w:top w:w="0" w:type="dxa"/>
              <w:left w:w="108" w:type="dxa"/>
              <w:bottom w:w="0" w:type="dxa"/>
              <w:right w:w="108" w:type="dxa"/>
            </w:tcMar>
            <w:hideMark/>
          </w:tcPr>
          <w:p w:rsidR="003830A8" w:rsidRDefault="003830A8" w:rsidP="00265071">
            <w:pPr>
              <w:spacing w:after="0"/>
              <w:rPr>
                <w:b/>
                <w:bCs/>
                <w:color w:val="262626"/>
              </w:rPr>
            </w:pPr>
            <w:r>
              <w:rPr>
                <w:b/>
                <w:bCs/>
                <w:color w:val="262626"/>
              </w:rPr>
              <w:t>Approver (Lead) Notes / Comments (Optional)</w:t>
            </w:r>
          </w:p>
          <w:p w:rsidR="003830A8" w:rsidRDefault="003830A8" w:rsidP="003830A8">
            <w:pPr>
              <w:spacing w:after="0"/>
              <w:rPr>
                <w:rFonts w:ascii="Calibri" w:hAnsi="Calibri"/>
                <w:b/>
                <w:bCs/>
                <w:color w:val="262626"/>
              </w:rPr>
            </w:pPr>
            <w:r w:rsidRPr="00177042">
              <w:rPr>
                <w:bCs/>
                <w:i/>
                <w:color w:val="262626"/>
                <w:sz w:val="16"/>
                <w:szCs w:val="16"/>
              </w:rPr>
              <w:t>(</w:t>
            </w:r>
            <w:r>
              <w:rPr>
                <w:bCs/>
                <w:i/>
                <w:color w:val="262626"/>
                <w:sz w:val="16"/>
                <w:szCs w:val="16"/>
              </w:rPr>
              <w:t xml:space="preserve">To be completed by </w:t>
            </w:r>
            <w:r w:rsidRPr="00B569C2">
              <w:rPr>
                <w:bCs/>
                <w:i/>
                <w:color w:val="262626"/>
                <w:sz w:val="16"/>
                <w:szCs w:val="16"/>
                <w:u w:val="single"/>
              </w:rPr>
              <w:t>a</w:t>
            </w:r>
            <w:r>
              <w:rPr>
                <w:bCs/>
                <w:i/>
                <w:color w:val="262626"/>
                <w:sz w:val="16"/>
                <w:szCs w:val="16"/>
                <w:u w:val="single"/>
              </w:rPr>
              <w:t xml:space="preserve">pprover </w:t>
            </w:r>
            <w:r w:rsidRPr="00B569C2">
              <w:rPr>
                <w:bCs/>
                <w:i/>
                <w:color w:val="262626"/>
                <w:sz w:val="16"/>
                <w:szCs w:val="16"/>
                <w:u w:val="single"/>
              </w:rPr>
              <w:t>only</w:t>
            </w:r>
            <w:r w:rsidRPr="00177042">
              <w:rPr>
                <w:bCs/>
                <w:i/>
                <w:color w:val="262626"/>
                <w:sz w:val="16"/>
                <w:szCs w:val="16"/>
              </w:rPr>
              <w:t>)</w:t>
            </w:r>
          </w:p>
        </w:tc>
        <w:tc>
          <w:tcPr>
            <w:tcW w:w="7148" w:type="dxa"/>
            <w:gridSpan w:val="3"/>
            <w:shd w:val="clear" w:color="auto" w:fill="CCFFCC"/>
            <w:tcMar>
              <w:top w:w="0" w:type="dxa"/>
              <w:left w:w="108" w:type="dxa"/>
              <w:bottom w:w="0" w:type="dxa"/>
              <w:right w:w="108" w:type="dxa"/>
            </w:tcMar>
          </w:tcPr>
          <w:p w:rsidR="003830A8" w:rsidRPr="00AD6D6B" w:rsidRDefault="003830A8" w:rsidP="003830A8">
            <w:pPr>
              <w:spacing w:after="0"/>
              <w:rPr>
                <w:rFonts w:ascii="Calibri" w:hAnsi="Calibri"/>
                <w:color w:val="262626"/>
                <w:sz w:val="20"/>
                <w:szCs w:val="20"/>
              </w:rPr>
            </w:pPr>
          </w:p>
        </w:tc>
      </w:tr>
      <w:tr w:rsidR="003830A8" w:rsidRPr="00AD6D6B" w:rsidTr="003830A8">
        <w:trPr>
          <w:trHeight w:val="511"/>
        </w:trPr>
        <w:tc>
          <w:tcPr>
            <w:tcW w:w="2448" w:type="dxa"/>
            <w:tcMar>
              <w:top w:w="0" w:type="dxa"/>
              <w:left w:w="108" w:type="dxa"/>
              <w:bottom w:w="0" w:type="dxa"/>
              <w:right w:w="108" w:type="dxa"/>
            </w:tcMar>
          </w:tcPr>
          <w:p w:rsidR="003830A8" w:rsidRDefault="003830A8" w:rsidP="00265071">
            <w:pPr>
              <w:spacing w:after="0"/>
              <w:rPr>
                <w:b/>
                <w:bCs/>
                <w:color w:val="262626"/>
              </w:rPr>
            </w:pPr>
            <w:r>
              <w:rPr>
                <w:b/>
                <w:bCs/>
                <w:color w:val="262626"/>
              </w:rPr>
              <w:t>Urgency level for grant approval &amp; payments</w:t>
            </w:r>
          </w:p>
        </w:tc>
        <w:tc>
          <w:tcPr>
            <w:tcW w:w="3574" w:type="dxa"/>
            <w:gridSpan w:val="2"/>
            <w:tcMar>
              <w:top w:w="0" w:type="dxa"/>
              <w:left w:w="108" w:type="dxa"/>
              <w:bottom w:w="0" w:type="dxa"/>
              <w:right w:w="108" w:type="dxa"/>
            </w:tcMar>
            <w:vAlign w:val="center"/>
          </w:tcPr>
          <w:p w:rsidR="003830A8" w:rsidRPr="00AD6D6B" w:rsidRDefault="003C3D79" w:rsidP="00265071">
            <w:pPr>
              <w:pStyle w:val="ColorfulList-Accent11"/>
              <w:spacing w:after="0" w:line="240" w:lineRule="auto"/>
              <w:ind w:left="0"/>
              <w:rPr>
                <w:sz w:val="20"/>
                <w:szCs w:val="20"/>
              </w:rPr>
            </w:pPr>
            <w:sdt>
              <w:sdtPr>
                <w:rPr>
                  <w:sz w:val="20"/>
                  <w:szCs w:val="20"/>
                </w:rPr>
                <w:id w:val="-1431961457"/>
                <w14:checkbox>
                  <w14:checked w14:val="1"/>
                  <w14:checkedState w14:val="2612" w14:font="MS Gothic"/>
                  <w14:uncheckedState w14:val="2610" w14:font="MS Gothic"/>
                </w14:checkbox>
              </w:sdtPr>
              <w:sdtEndPr/>
              <w:sdtContent>
                <w:r w:rsidR="003830A8">
                  <w:rPr>
                    <w:rFonts w:ascii="MS Gothic" w:eastAsia="MS Gothic" w:hAnsi="MS Gothic" w:hint="eastAsia"/>
                    <w:sz w:val="20"/>
                    <w:szCs w:val="20"/>
                  </w:rPr>
                  <w:t>☒</w:t>
                </w:r>
              </w:sdtContent>
            </w:sdt>
            <w:r w:rsidR="003830A8">
              <w:rPr>
                <w:sz w:val="20"/>
                <w:szCs w:val="20"/>
              </w:rPr>
              <w:t xml:space="preserve"> </w:t>
            </w:r>
            <w:r w:rsidR="003830A8" w:rsidRPr="00411B69">
              <w:rPr>
                <w:b/>
                <w:sz w:val="20"/>
                <w:szCs w:val="20"/>
                <w:u w:val="single"/>
              </w:rPr>
              <w:t>Not</w:t>
            </w:r>
            <w:r w:rsidR="003830A8">
              <w:rPr>
                <w:sz w:val="20"/>
                <w:szCs w:val="20"/>
              </w:rPr>
              <w:t xml:space="preserve"> Rapid Response </w:t>
            </w:r>
          </w:p>
        </w:tc>
        <w:tc>
          <w:tcPr>
            <w:tcW w:w="3574" w:type="dxa"/>
            <w:vAlign w:val="cente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  </w:t>
            </w:r>
            <w:sdt>
              <w:sdtPr>
                <w:rPr>
                  <w:sz w:val="20"/>
                  <w:szCs w:val="20"/>
                </w:rPr>
                <w:id w:val="-1454474560"/>
                <w14:checkbox>
                  <w14:checked w14:val="0"/>
                  <w14:checkedState w14:val="2612" w14:font="MS Gothic"/>
                  <w14:uncheckedState w14:val="2610" w14:font="MS Gothic"/>
                </w14:checkbox>
              </w:sdtPr>
              <w:sdtEndPr/>
              <w:sdtContent>
                <w:r w:rsidRPr="00AD6D6B">
                  <w:rPr>
                    <w:rFonts w:ascii="MS Gothic" w:eastAsia="MS Gothic" w:hAnsi="MS Gothic" w:hint="eastAsia"/>
                    <w:sz w:val="20"/>
                    <w:szCs w:val="20"/>
                  </w:rPr>
                  <w:t>☐</w:t>
                </w:r>
              </w:sdtContent>
            </w:sdt>
            <w:r>
              <w:rPr>
                <w:sz w:val="20"/>
                <w:szCs w:val="20"/>
              </w:rPr>
              <w:t xml:space="preserve"> </w:t>
            </w:r>
            <w:r w:rsidRPr="00411B69">
              <w:rPr>
                <w:sz w:val="20"/>
                <w:szCs w:val="20"/>
              </w:rPr>
              <w:t>Rapid Response</w:t>
            </w:r>
            <w:r>
              <w:rPr>
                <w:sz w:val="20"/>
                <w:szCs w:val="20"/>
              </w:rPr>
              <w:t xml:space="preserve"> </w:t>
            </w:r>
            <w:r>
              <w:rPr>
                <w:bCs/>
                <w:i/>
                <w:color w:val="262626"/>
                <w:sz w:val="16"/>
                <w:szCs w:val="16"/>
              </w:rPr>
              <w:t xml:space="preserve">(See procedure on </w:t>
            </w:r>
            <w:hyperlink r:id="rId10" w:history="1">
              <w:r w:rsidRPr="00411B69">
                <w:rPr>
                  <w:rStyle w:val="Hyperlink"/>
                  <w:bCs/>
                  <w:i/>
                  <w:sz w:val="16"/>
                  <w:szCs w:val="16"/>
                </w:rPr>
                <w:t>KARL</w:t>
              </w:r>
            </w:hyperlink>
            <w:r>
              <w:rPr>
                <w:bCs/>
                <w:i/>
                <w:color w:val="262626"/>
                <w:sz w:val="16"/>
                <w:szCs w:val="16"/>
              </w:rPr>
              <w:t>)</w:t>
            </w:r>
          </w:p>
        </w:tc>
      </w:tr>
      <w:tr w:rsidR="003830A8" w:rsidRPr="00AD6D6B" w:rsidTr="003830A8">
        <w:trPr>
          <w:trHeight w:val="287"/>
        </w:trPr>
        <w:tc>
          <w:tcPr>
            <w:tcW w:w="2448" w:type="dxa"/>
            <w:vMerge w:val="restart"/>
            <w:tcMar>
              <w:top w:w="0" w:type="dxa"/>
              <w:left w:w="108" w:type="dxa"/>
              <w:bottom w:w="0" w:type="dxa"/>
              <w:right w:w="108" w:type="dxa"/>
            </w:tcMar>
          </w:tcPr>
          <w:p w:rsidR="003830A8" w:rsidRDefault="003830A8" w:rsidP="00265071">
            <w:pPr>
              <w:spacing w:after="0"/>
              <w:rPr>
                <w:b/>
                <w:bCs/>
                <w:color w:val="262626"/>
              </w:rPr>
            </w:pPr>
            <w:r w:rsidRPr="006512F6">
              <w:rPr>
                <w:b/>
                <w:bCs/>
                <w:color w:val="262626"/>
              </w:rPr>
              <w:t xml:space="preserve">If approved, </w:t>
            </w:r>
            <w:r>
              <w:rPr>
                <w:b/>
                <w:bCs/>
                <w:color w:val="262626"/>
              </w:rPr>
              <w:t>where</w:t>
            </w:r>
            <w:r w:rsidRPr="006512F6">
              <w:rPr>
                <w:b/>
                <w:bCs/>
                <w:color w:val="262626"/>
              </w:rPr>
              <w:t xml:space="preserve"> </w:t>
            </w:r>
            <w:r>
              <w:rPr>
                <w:b/>
                <w:bCs/>
                <w:color w:val="262626"/>
              </w:rPr>
              <w:t xml:space="preserve">to allocate the </w:t>
            </w:r>
            <w:r w:rsidRPr="006512F6">
              <w:rPr>
                <w:b/>
                <w:bCs/>
                <w:color w:val="262626"/>
              </w:rPr>
              <w:t>budget?</w:t>
            </w:r>
            <w:r>
              <w:rPr>
                <w:b/>
                <w:bCs/>
                <w:color w:val="262626"/>
              </w:rPr>
              <w:t xml:space="preserve"> </w:t>
            </w:r>
          </w:p>
          <w:p w:rsidR="003830A8" w:rsidRPr="006512F6" w:rsidRDefault="003830A8" w:rsidP="00265071">
            <w:pPr>
              <w:spacing w:after="0"/>
              <w:rPr>
                <w:b/>
                <w:bCs/>
                <w:color w:val="262626"/>
              </w:rPr>
            </w:pPr>
            <w:r w:rsidRPr="00177042">
              <w:rPr>
                <w:bCs/>
                <w:i/>
                <w:color w:val="262626"/>
                <w:sz w:val="16"/>
                <w:szCs w:val="16"/>
              </w:rPr>
              <w:t>(If the budget is split between multiple programs, please copy/paste this section as needed.)</w:t>
            </w: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Amount</w:t>
            </w:r>
          </w:p>
        </w:tc>
        <w:tc>
          <w:tcPr>
            <w:tcW w:w="3574" w:type="dxa"/>
          </w:tcPr>
          <w:p w:rsidR="003830A8" w:rsidRPr="00AD6D6B" w:rsidRDefault="00545709" w:rsidP="00265071">
            <w:pPr>
              <w:pStyle w:val="ColorfulList-Accent11"/>
              <w:spacing w:after="0" w:line="240" w:lineRule="auto"/>
              <w:ind w:left="0"/>
              <w:rPr>
                <w:sz w:val="20"/>
                <w:szCs w:val="20"/>
              </w:rPr>
            </w:pPr>
            <w:r>
              <w:rPr>
                <w:sz w:val="20"/>
                <w:szCs w:val="20"/>
              </w:rPr>
              <w:t>$775,000</w:t>
            </w:r>
            <w:r w:rsidR="00DB5775">
              <w:rPr>
                <w:sz w:val="20"/>
                <w:szCs w:val="20"/>
              </w:rPr>
              <w:t>.00USD</w:t>
            </w:r>
            <w:r w:rsidR="00B2346F">
              <w:rPr>
                <w:sz w:val="20"/>
                <w:szCs w:val="20"/>
              </w:rPr>
              <w:t xml:space="preserve"> + </w:t>
            </w:r>
            <w:r w:rsidR="00B2346F" w:rsidRPr="00A950B7">
              <w:rPr>
                <w:sz w:val="20"/>
                <w:szCs w:val="20"/>
                <w:highlight w:val="yellow"/>
              </w:rPr>
              <w:t>$55,000</w:t>
            </w:r>
          </w:p>
        </w:tc>
      </w:tr>
      <w:tr w:rsidR="003830A8" w:rsidRPr="00AD6D6B" w:rsidTr="003830A8">
        <w:trPr>
          <w:trHeight w:val="288"/>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Category of Work</w:t>
            </w:r>
          </w:p>
        </w:tc>
        <w:tc>
          <w:tcPr>
            <w:tcW w:w="3574" w:type="dxa"/>
          </w:tcPr>
          <w:p w:rsidR="003830A8" w:rsidRPr="00AD6D6B" w:rsidRDefault="00DB5775" w:rsidP="00265071">
            <w:pPr>
              <w:pStyle w:val="ColorfulList-Accent11"/>
              <w:spacing w:after="0" w:line="240" w:lineRule="auto"/>
              <w:ind w:left="0"/>
              <w:rPr>
                <w:sz w:val="20"/>
                <w:szCs w:val="20"/>
              </w:rPr>
            </w:pPr>
            <w:r>
              <w:rPr>
                <w:sz w:val="20"/>
                <w:szCs w:val="20"/>
              </w:rPr>
              <w:t>SFS007 SHARED FRAMEWORK: Lethal Drones &amp; Targeted Killings</w:t>
            </w:r>
          </w:p>
        </w:tc>
      </w:tr>
      <w:tr w:rsidR="003830A8" w:rsidRPr="00AD6D6B" w:rsidTr="003830A8">
        <w:trPr>
          <w:trHeight w:val="287"/>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Division/Program Code</w:t>
            </w:r>
          </w:p>
        </w:tc>
        <w:tc>
          <w:tcPr>
            <w:tcW w:w="3574" w:type="dxa"/>
          </w:tcPr>
          <w:p w:rsidR="003830A8" w:rsidRPr="00AD6D6B" w:rsidRDefault="00545709" w:rsidP="00265071">
            <w:pPr>
              <w:pStyle w:val="ColorfulList-Accent11"/>
              <w:spacing w:after="0" w:line="240" w:lineRule="auto"/>
              <w:ind w:left="0"/>
              <w:rPr>
                <w:sz w:val="20"/>
                <w:szCs w:val="20"/>
              </w:rPr>
            </w:pPr>
            <w:r>
              <w:rPr>
                <w:sz w:val="20"/>
                <w:szCs w:val="20"/>
              </w:rPr>
              <w:t>21095.6</w:t>
            </w:r>
          </w:p>
        </w:tc>
      </w:tr>
      <w:tr w:rsidR="003830A8" w:rsidRPr="00AD6D6B" w:rsidTr="003830A8">
        <w:trPr>
          <w:trHeight w:val="288"/>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Entity </w:t>
            </w:r>
            <w:r w:rsidRPr="00AD6D6B">
              <w:rPr>
                <w:i/>
                <w:sz w:val="20"/>
                <w:szCs w:val="20"/>
              </w:rPr>
              <w:t>(i.e., FPOS, ZUG)</w:t>
            </w:r>
          </w:p>
        </w:tc>
        <w:tc>
          <w:tcPr>
            <w:tcW w:w="3574" w:type="dxa"/>
          </w:tcPr>
          <w:p w:rsidR="003830A8" w:rsidRPr="00AD6D6B" w:rsidRDefault="00545709" w:rsidP="00265071">
            <w:pPr>
              <w:pStyle w:val="ColorfulList-Accent11"/>
              <w:spacing w:after="0" w:line="240" w:lineRule="auto"/>
              <w:ind w:left="0"/>
              <w:rPr>
                <w:sz w:val="20"/>
                <w:szCs w:val="20"/>
              </w:rPr>
            </w:pPr>
            <w:r>
              <w:rPr>
                <w:sz w:val="20"/>
                <w:szCs w:val="20"/>
              </w:rPr>
              <w:t>FPOS</w:t>
            </w:r>
          </w:p>
        </w:tc>
      </w:tr>
      <w:tr w:rsidR="003830A8" w:rsidRPr="00AD6D6B" w:rsidTr="003830A8">
        <w:trPr>
          <w:trHeight w:val="287"/>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Fund Class </w:t>
            </w:r>
            <w:r w:rsidRPr="00AD6D6B">
              <w:rPr>
                <w:i/>
                <w:sz w:val="20"/>
                <w:szCs w:val="20"/>
              </w:rPr>
              <w:t>(i.e., Lobbying/Non-Lobbying)</w:t>
            </w:r>
          </w:p>
        </w:tc>
        <w:tc>
          <w:tcPr>
            <w:tcW w:w="3574" w:type="dxa"/>
          </w:tcPr>
          <w:p w:rsidR="003830A8" w:rsidRPr="00AD6D6B" w:rsidRDefault="008D193F" w:rsidP="00265071">
            <w:pPr>
              <w:pStyle w:val="ColorfulList-Accent11"/>
              <w:spacing w:after="0" w:line="240" w:lineRule="auto"/>
              <w:ind w:left="0"/>
              <w:rPr>
                <w:sz w:val="20"/>
                <w:szCs w:val="20"/>
              </w:rPr>
            </w:pPr>
            <w:r>
              <w:rPr>
                <w:sz w:val="20"/>
                <w:szCs w:val="20"/>
              </w:rPr>
              <w:t>Non-lobbying</w:t>
            </w:r>
          </w:p>
        </w:tc>
      </w:tr>
      <w:tr w:rsidR="003830A8" w:rsidRPr="00AD6D6B" w:rsidTr="003830A8">
        <w:trPr>
          <w:trHeight w:val="288"/>
        </w:trPr>
        <w:tc>
          <w:tcPr>
            <w:tcW w:w="2448" w:type="dxa"/>
            <w:vMerge/>
            <w:tcMar>
              <w:top w:w="0" w:type="dxa"/>
              <w:left w:w="108" w:type="dxa"/>
              <w:bottom w:w="0" w:type="dxa"/>
              <w:right w:w="108" w:type="dxa"/>
            </w:tcMar>
          </w:tcPr>
          <w:p w:rsidR="003830A8" w:rsidRPr="006512F6" w:rsidRDefault="003830A8" w:rsidP="00265071">
            <w:pPr>
              <w:spacing w:after="0"/>
              <w:rPr>
                <w:b/>
                <w:bCs/>
                <w:color w:val="262626"/>
              </w:rPr>
            </w:pPr>
          </w:p>
        </w:tc>
        <w:tc>
          <w:tcPr>
            <w:tcW w:w="3574" w:type="dxa"/>
            <w:gridSpan w:val="2"/>
            <w:tcMar>
              <w:top w:w="0" w:type="dxa"/>
              <w:left w:w="108" w:type="dxa"/>
              <w:bottom w:w="0" w:type="dxa"/>
              <w:right w:w="108" w:type="dxa"/>
            </w:tcMar>
          </w:tcPr>
          <w:p w:rsidR="003830A8" w:rsidRPr="00AD6D6B" w:rsidRDefault="003830A8" w:rsidP="00265071">
            <w:pPr>
              <w:pStyle w:val="ColorfulList-Accent11"/>
              <w:spacing w:after="0" w:line="240" w:lineRule="auto"/>
              <w:ind w:left="0"/>
              <w:rPr>
                <w:sz w:val="20"/>
                <w:szCs w:val="20"/>
              </w:rPr>
            </w:pPr>
            <w:r w:rsidRPr="00AD6D6B">
              <w:rPr>
                <w:sz w:val="20"/>
                <w:szCs w:val="20"/>
              </w:rPr>
              <w:t xml:space="preserve">Geography </w:t>
            </w:r>
            <w:r w:rsidRPr="00AD6D6B">
              <w:rPr>
                <w:i/>
                <w:sz w:val="20"/>
                <w:szCs w:val="20"/>
              </w:rPr>
              <w:t>(of benefit)</w:t>
            </w:r>
          </w:p>
        </w:tc>
        <w:tc>
          <w:tcPr>
            <w:tcW w:w="3574" w:type="dxa"/>
          </w:tcPr>
          <w:p w:rsidR="003830A8" w:rsidRPr="00AD6D6B" w:rsidRDefault="008D193F" w:rsidP="008D193F">
            <w:pPr>
              <w:pStyle w:val="ColorfulList-Accent11"/>
              <w:spacing w:after="0" w:line="240" w:lineRule="auto"/>
              <w:ind w:left="0"/>
              <w:rPr>
                <w:sz w:val="20"/>
                <w:szCs w:val="20"/>
              </w:rPr>
            </w:pPr>
            <w:r>
              <w:rPr>
                <w:sz w:val="20"/>
                <w:szCs w:val="20"/>
              </w:rPr>
              <w:t>U.S.-based grantees, but broader benefit to extend globally (including to Europe and areas of drone use)</w:t>
            </w:r>
          </w:p>
        </w:tc>
      </w:tr>
    </w:tbl>
    <w:p w:rsidR="003425C8" w:rsidRDefault="003425C8"/>
    <w:sectPr w:rsidR="003425C8" w:rsidSect="0022026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79" w:rsidRDefault="003C3D79">
      <w:pPr>
        <w:spacing w:after="0" w:line="240" w:lineRule="auto"/>
      </w:pPr>
      <w:r>
        <w:separator/>
      </w:r>
    </w:p>
  </w:endnote>
  <w:endnote w:type="continuationSeparator" w:id="0">
    <w:p w:rsidR="003C3D79" w:rsidRDefault="003C3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71" w:rsidRPr="0022026F" w:rsidRDefault="0022026F" w:rsidP="001D14BC">
    <w:pPr>
      <w:pStyle w:val="Footer"/>
      <w:rPr>
        <w:sz w:val="16"/>
      </w:rPr>
    </w:pPr>
    <w:r>
      <w:rPr>
        <w:sz w:val="16"/>
      </w:rPr>
      <w:t>Shared Framework Reserve Funds Request Template_1April</w:t>
    </w:r>
    <w:r w:rsidRPr="006E72C5">
      <w:rPr>
        <w:sz w:val="16"/>
      </w:rPr>
      <w:t>2015</w:t>
    </w:r>
    <w:r w:rsidR="0026507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79" w:rsidRDefault="003C3D79">
      <w:pPr>
        <w:spacing w:after="0" w:line="240" w:lineRule="auto"/>
      </w:pPr>
      <w:r>
        <w:separator/>
      </w:r>
    </w:p>
  </w:footnote>
  <w:footnote w:type="continuationSeparator" w:id="0">
    <w:p w:rsidR="003C3D79" w:rsidRDefault="003C3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7FD6"/>
    <w:multiLevelType w:val="hybridMultilevel"/>
    <w:tmpl w:val="F0A0B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B158A"/>
    <w:multiLevelType w:val="hybridMultilevel"/>
    <w:tmpl w:val="F768D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BE"/>
    <w:rsid w:val="00010B3D"/>
    <w:rsid w:val="00043AD5"/>
    <w:rsid w:val="00061927"/>
    <w:rsid w:val="00071ACF"/>
    <w:rsid w:val="00081462"/>
    <w:rsid w:val="000A6A95"/>
    <w:rsid w:val="000D5A72"/>
    <w:rsid w:val="000E4EF8"/>
    <w:rsid w:val="00173C1F"/>
    <w:rsid w:val="00175D1B"/>
    <w:rsid w:val="001B4E05"/>
    <w:rsid w:val="001B4FAE"/>
    <w:rsid w:val="001D14BC"/>
    <w:rsid w:val="001D409F"/>
    <w:rsid w:val="001D444E"/>
    <w:rsid w:val="001D77C4"/>
    <w:rsid w:val="0022026F"/>
    <w:rsid w:val="00222E71"/>
    <w:rsid w:val="00265071"/>
    <w:rsid w:val="00277346"/>
    <w:rsid w:val="00290C2A"/>
    <w:rsid w:val="002F43E2"/>
    <w:rsid w:val="003104E4"/>
    <w:rsid w:val="00320F5A"/>
    <w:rsid w:val="00324F07"/>
    <w:rsid w:val="003425C8"/>
    <w:rsid w:val="00354C31"/>
    <w:rsid w:val="003830A8"/>
    <w:rsid w:val="00390E9F"/>
    <w:rsid w:val="00396CE9"/>
    <w:rsid w:val="003A0672"/>
    <w:rsid w:val="003C3D79"/>
    <w:rsid w:val="003C5211"/>
    <w:rsid w:val="003E14DD"/>
    <w:rsid w:val="00465EDF"/>
    <w:rsid w:val="00491608"/>
    <w:rsid w:val="004962C1"/>
    <w:rsid w:val="00545709"/>
    <w:rsid w:val="00554D7E"/>
    <w:rsid w:val="00556B92"/>
    <w:rsid w:val="005673FE"/>
    <w:rsid w:val="005700E4"/>
    <w:rsid w:val="005B3EBA"/>
    <w:rsid w:val="00610237"/>
    <w:rsid w:val="0068704B"/>
    <w:rsid w:val="006B1611"/>
    <w:rsid w:val="006B704C"/>
    <w:rsid w:val="006F6A54"/>
    <w:rsid w:val="00742966"/>
    <w:rsid w:val="00754994"/>
    <w:rsid w:val="0077751D"/>
    <w:rsid w:val="007A144A"/>
    <w:rsid w:val="007C7D2D"/>
    <w:rsid w:val="007D3C6E"/>
    <w:rsid w:val="007F7672"/>
    <w:rsid w:val="008401C3"/>
    <w:rsid w:val="0084182A"/>
    <w:rsid w:val="00845D85"/>
    <w:rsid w:val="00850DE5"/>
    <w:rsid w:val="00852D78"/>
    <w:rsid w:val="00890664"/>
    <w:rsid w:val="008C1C47"/>
    <w:rsid w:val="008D193F"/>
    <w:rsid w:val="008E7898"/>
    <w:rsid w:val="00907546"/>
    <w:rsid w:val="00937EE8"/>
    <w:rsid w:val="0097164E"/>
    <w:rsid w:val="00971F8A"/>
    <w:rsid w:val="009F1512"/>
    <w:rsid w:val="00A61932"/>
    <w:rsid w:val="00A950B7"/>
    <w:rsid w:val="00AE6597"/>
    <w:rsid w:val="00AF6E34"/>
    <w:rsid w:val="00B2346F"/>
    <w:rsid w:val="00B3135B"/>
    <w:rsid w:val="00B45EEE"/>
    <w:rsid w:val="00B66FB2"/>
    <w:rsid w:val="00B814A1"/>
    <w:rsid w:val="00B9294F"/>
    <w:rsid w:val="00B93D2B"/>
    <w:rsid w:val="00BB16DE"/>
    <w:rsid w:val="00C05FC7"/>
    <w:rsid w:val="00C472BB"/>
    <w:rsid w:val="00C97E5A"/>
    <w:rsid w:val="00CB1E74"/>
    <w:rsid w:val="00CD1CF9"/>
    <w:rsid w:val="00CF5C79"/>
    <w:rsid w:val="00D65D31"/>
    <w:rsid w:val="00DB3A94"/>
    <w:rsid w:val="00DB475D"/>
    <w:rsid w:val="00DB5775"/>
    <w:rsid w:val="00DC515B"/>
    <w:rsid w:val="00E02470"/>
    <w:rsid w:val="00E075BE"/>
    <w:rsid w:val="00E0763A"/>
    <w:rsid w:val="00E2213F"/>
    <w:rsid w:val="00E47D21"/>
    <w:rsid w:val="00E93CA5"/>
    <w:rsid w:val="00EB28BB"/>
    <w:rsid w:val="00EC6032"/>
    <w:rsid w:val="00ED73C5"/>
    <w:rsid w:val="00EF3975"/>
    <w:rsid w:val="00F65538"/>
    <w:rsid w:val="00F86E3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5BE"/>
    <w:pPr>
      <w:spacing w:after="0" w:line="240" w:lineRule="auto"/>
      <w:ind w:left="720"/>
    </w:pPr>
    <w:rPr>
      <w:rFonts w:ascii="Calibri" w:eastAsia="Times New Roman" w:hAnsi="Calibri" w:cs="Times New Roman"/>
    </w:rPr>
  </w:style>
  <w:style w:type="paragraph" w:styleId="Header">
    <w:name w:val="header"/>
    <w:basedOn w:val="Normal"/>
    <w:link w:val="HeaderChar"/>
    <w:uiPriority w:val="99"/>
    <w:unhideWhenUsed/>
    <w:rsid w:val="00E075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5BE"/>
  </w:style>
  <w:style w:type="paragraph" w:styleId="Footer">
    <w:name w:val="footer"/>
    <w:basedOn w:val="Normal"/>
    <w:link w:val="FooterChar"/>
    <w:uiPriority w:val="99"/>
    <w:unhideWhenUsed/>
    <w:rsid w:val="00E075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5BE"/>
  </w:style>
  <w:style w:type="paragraph" w:styleId="NoSpacing">
    <w:name w:val="No Spacing"/>
    <w:uiPriority w:val="1"/>
    <w:qFormat/>
    <w:rsid w:val="00E075BE"/>
    <w:pPr>
      <w:spacing w:after="0" w:line="240" w:lineRule="auto"/>
    </w:pPr>
  </w:style>
  <w:style w:type="paragraph" w:customStyle="1" w:styleId="ColorfulList-Accent11">
    <w:name w:val="Colorful List - Accent 11"/>
    <w:basedOn w:val="Normal"/>
    <w:uiPriority w:val="34"/>
    <w:rsid w:val="00E075BE"/>
    <w:pPr>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700E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700E4"/>
    <w:rPr>
      <w:rFonts w:ascii="Lucida Grande" w:hAnsi="Lucida Grande"/>
      <w:sz w:val="18"/>
      <w:szCs w:val="18"/>
    </w:rPr>
  </w:style>
  <w:style w:type="character" w:styleId="CommentReference">
    <w:name w:val="annotation reference"/>
    <w:basedOn w:val="DefaultParagraphFont"/>
    <w:uiPriority w:val="99"/>
    <w:semiHidden/>
    <w:unhideWhenUsed/>
    <w:rsid w:val="008E7898"/>
    <w:rPr>
      <w:sz w:val="18"/>
      <w:szCs w:val="18"/>
    </w:rPr>
  </w:style>
  <w:style w:type="paragraph" w:styleId="CommentText">
    <w:name w:val="annotation text"/>
    <w:basedOn w:val="Normal"/>
    <w:link w:val="CommentTextChar"/>
    <w:uiPriority w:val="99"/>
    <w:semiHidden/>
    <w:unhideWhenUsed/>
    <w:rsid w:val="008E7898"/>
    <w:pPr>
      <w:spacing w:line="240" w:lineRule="auto"/>
    </w:pPr>
    <w:rPr>
      <w:sz w:val="24"/>
      <w:szCs w:val="24"/>
    </w:rPr>
  </w:style>
  <w:style w:type="character" w:customStyle="1" w:styleId="CommentTextChar">
    <w:name w:val="Comment Text Char"/>
    <w:basedOn w:val="DefaultParagraphFont"/>
    <w:link w:val="CommentText"/>
    <w:uiPriority w:val="99"/>
    <w:semiHidden/>
    <w:rsid w:val="008E7898"/>
    <w:rPr>
      <w:sz w:val="24"/>
      <w:szCs w:val="24"/>
    </w:rPr>
  </w:style>
  <w:style w:type="paragraph" w:styleId="CommentSubject">
    <w:name w:val="annotation subject"/>
    <w:basedOn w:val="CommentText"/>
    <w:next w:val="CommentText"/>
    <w:link w:val="CommentSubjectChar"/>
    <w:uiPriority w:val="99"/>
    <w:semiHidden/>
    <w:unhideWhenUsed/>
    <w:rsid w:val="008E7898"/>
    <w:rPr>
      <w:b/>
      <w:bCs/>
      <w:sz w:val="20"/>
      <w:szCs w:val="20"/>
    </w:rPr>
  </w:style>
  <w:style w:type="character" w:customStyle="1" w:styleId="CommentSubjectChar">
    <w:name w:val="Comment Subject Char"/>
    <w:basedOn w:val="CommentTextChar"/>
    <w:link w:val="CommentSubject"/>
    <w:uiPriority w:val="99"/>
    <w:semiHidden/>
    <w:rsid w:val="008E7898"/>
    <w:rPr>
      <w:b/>
      <w:bCs/>
      <w:sz w:val="20"/>
      <w:szCs w:val="20"/>
    </w:rPr>
  </w:style>
  <w:style w:type="character" w:styleId="Hyperlink">
    <w:name w:val="Hyperlink"/>
    <w:basedOn w:val="DefaultParagraphFont"/>
    <w:uiPriority w:val="99"/>
    <w:unhideWhenUsed/>
    <w:rsid w:val="00DB3A94"/>
    <w:rPr>
      <w:color w:val="0000FF" w:themeColor="hyperlink"/>
      <w:u w:val="single"/>
    </w:rPr>
  </w:style>
  <w:style w:type="character" w:styleId="FollowedHyperlink">
    <w:name w:val="FollowedHyperlink"/>
    <w:basedOn w:val="DefaultParagraphFont"/>
    <w:uiPriority w:val="99"/>
    <w:semiHidden/>
    <w:unhideWhenUsed/>
    <w:rsid w:val="00850D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07840">
      <w:bodyDiv w:val="1"/>
      <w:marLeft w:val="0"/>
      <w:marRight w:val="0"/>
      <w:marTop w:val="0"/>
      <w:marBottom w:val="0"/>
      <w:divBdr>
        <w:top w:val="none" w:sz="0" w:space="0" w:color="auto"/>
        <w:left w:val="none" w:sz="0" w:space="0" w:color="auto"/>
        <w:bottom w:val="none" w:sz="0" w:space="0" w:color="auto"/>
        <w:right w:val="none" w:sz="0" w:space="0" w:color="auto"/>
      </w:divBdr>
    </w:div>
    <w:div w:id="9290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arl.soros.org/communities/reserves/files/ii.-policies/rapid-response-as-of-10-november-2014.docx/" TargetMode="External"/><Relationship Id="rId4" Type="http://schemas.microsoft.com/office/2007/relationships/stylesWithEffects" Target="stylesWithEffects.xml"/><Relationship Id="rId9" Type="http://schemas.openxmlformats.org/officeDocument/2006/relationships/hyperlink" Target="https://karl.soros.org/communities/reserves/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FBC4-514C-47D0-A217-65197B2D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Open Society Foundations</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Choong</dc:creator>
  <cp:lastModifiedBy>Alexandra Lutoshkina</cp:lastModifiedBy>
  <cp:revision>2</cp:revision>
  <cp:lastPrinted>2015-05-08T16:16:00Z</cp:lastPrinted>
  <dcterms:created xsi:type="dcterms:W3CDTF">2015-09-08T20:22:00Z</dcterms:created>
  <dcterms:modified xsi:type="dcterms:W3CDTF">2015-09-08T20:22:00Z</dcterms:modified>
</cp:coreProperties>
</file>