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246"/>
        <w:tblW w:w="9820" w:type="dxa"/>
        <w:tblCellMar>
          <w:left w:w="0" w:type="dxa"/>
          <w:right w:w="0" w:type="dxa"/>
        </w:tblCellMar>
        <w:tblLook w:val="04A0" w:firstRow="1" w:lastRow="0" w:firstColumn="1" w:lastColumn="0" w:noHBand="0" w:noVBand="1"/>
      </w:tblPr>
      <w:tblGrid>
        <w:gridCol w:w="2493"/>
        <w:gridCol w:w="3360"/>
        <w:gridCol w:w="3967"/>
      </w:tblGrid>
      <w:tr w:rsidR="00394223" w:rsidTr="004E3BE0">
        <w:trPr>
          <w:trHeight w:val="409"/>
        </w:trPr>
        <w:tc>
          <w:tcPr>
            <w:tcW w:w="2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4223" w:rsidRDefault="00394223" w:rsidP="00394223">
            <w:pPr>
              <w:rPr>
                <w:rFonts w:ascii="Calibri" w:hAnsi="Calibri"/>
                <w:b/>
                <w:bCs/>
                <w:color w:val="262626"/>
              </w:rPr>
            </w:pPr>
            <w:bookmarkStart w:id="0" w:name="_GoBack"/>
            <w:bookmarkEnd w:id="0"/>
            <w:r>
              <w:rPr>
                <w:b/>
                <w:bCs/>
                <w:color w:val="262626"/>
              </w:rPr>
              <w:t>Contributing Program</w:t>
            </w:r>
          </w:p>
        </w:tc>
        <w:tc>
          <w:tcPr>
            <w:tcW w:w="73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94223" w:rsidRDefault="00595998" w:rsidP="00394223">
            <w:pPr>
              <w:rPr>
                <w:rFonts w:ascii="Calibri" w:hAnsi="Calibri"/>
                <w:color w:val="262626"/>
              </w:rPr>
            </w:pPr>
            <w:r>
              <w:rPr>
                <w:rFonts w:ascii="Calibri" w:hAnsi="Calibri"/>
                <w:color w:val="262626"/>
              </w:rPr>
              <w:t>OSIFE</w:t>
            </w:r>
            <w:r w:rsidR="00003778">
              <w:rPr>
                <w:rFonts w:ascii="Calibri" w:hAnsi="Calibri"/>
                <w:color w:val="262626"/>
              </w:rPr>
              <w:t>, GDPP</w:t>
            </w:r>
          </w:p>
        </w:tc>
      </w:tr>
      <w:tr w:rsidR="00394223" w:rsidTr="004E3BE0">
        <w:trPr>
          <w:trHeight w:val="23"/>
        </w:trPr>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4223" w:rsidRDefault="00394223" w:rsidP="00394223">
            <w:pPr>
              <w:rPr>
                <w:rFonts w:ascii="Calibri" w:hAnsi="Calibri"/>
                <w:b/>
                <w:bCs/>
                <w:color w:val="262626"/>
              </w:rPr>
            </w:pPr>
            <w:r>
              <w:rPr>
                <w:b/>
                <w:bCs/>
                <w:color w:val="262626"/>
              </w:rPr>
              <w:t>Shared Framework Title</w:t>
            </w:r>
          </w:p>
        </w:tc>
        <w:tc>
          <w:tcPr>
            <w:tcW w:w="7327" w:type="dxa"/>
            <w:gridSpan w:val="2"/>
            <w:tcBorders>
              <w:top w:val="nil"/>
              <w:left w:val="nil"/>
              <w:bottom w:val="single" w:sz="8" w:space="0" w:color="auto"/>
              <w:right w:val="single" w:sz="8" w:space="0" w:color="auto"/>
            </w:tcBorders>
            <w:tcMar>
              <w:top w:w="0" w:type="dxa"/>
              <w:left w:w="108" w:type="dxa"/>
              <w:bottom w:w="0" w:type="dxa"/>
              <w:right w:w="108" w:type="dxa"/>
            </w:tcMar>
          </w:tcPr>
          <w:p w:rsidR="00394223" w:rsidRDefault="00394223" w:rsidP="00394223">
            <w:pPr>
              <w:rPr>
                <w:rFonts w:ascii="Calibri" w:hAnsi="Calibri"/>
                <w:color w:val="262626"/>
              </w:rPr>
            </w:pPr>
            <w:r>
              <w:rPr>
                <w:rFonts w:ascii="Calibri" w:hAnsi="Calibri"/>
                <w:color w:val="262626"/>
              </w:rPr>
              <w:t xml:space="preserve">Fostering a New Era in Global Drug Policy </w:t>
            </w:r>
          </w:p>
        </w:tc>
      </w:tr>
      <w:tr w:rsidR="00394223" w:rsidTr="004E3BE0">
        <w:trPr>
          <w:trHeight w:val="23"/>
        </w:trPr>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4223" w:rsidRDefault="00394223" w:rsidP="00394223">
            <w:pPr>
              <w:rPr>
                <w:rFonts w:ascii="Calibri" w:hAnsi="Calibri"/>
                <w:b/>
                <w:bCs/>
                <w:color w:val="262626"/>
              </w:rPr>
            </w:pPr>
            <w:r>
              <w:rPr>
                <w:b/>
                <w:bCs/>
                <w:color w:val="262626"/>
              </w:rPr>
              <w:t>Collaborating Programs (if any)</w:t>
            </w:r>
          </w:p>
        </w:tc>
        <w:tc>
          <w:tcPr>
            <w:tcW w:w="7327" w:type="dxa"/>
            <w:gridSpan w:val="2"/>
            <w:tcBorders>
              <w:top w:val="nil"/>
              <w:left w:val="nil"/>
              <w:bottom w:val="single" w:sz="8" w:space="0" w:color="auto"/>
              <w:right w:val="single" w:sz="8" w:space="0" w:color="auto"/>
            </w:tcBorders>
            <w:tcMar>
              <w:top w:w="0" w:type="dxa"/>
              <w:left w:w="108" w:type="dxa"/>
              <w:bottom w:w="0" w:type="dxa"/>
              <w:right w:w="108" w:type="dxa"/>
            </w:tcMar>
          </w:tcPr>
          <w:p w:rsidR="00394223" w:rsidRDefault="00595998" w:rsidP="00394223">
            <w:pPr>
              <w:rPr>
                <w:rFonts w:ascii="Calibri" w:hAnsi="Calibri"/>
                <w:color w:val="262626"/>
              </w:rPr>
            </w:pPr>
            <w:r>
              <w:rPr>
                <w:rFonts w:ascii="Calibri" w:hAnsi="Calibri"/>
                <w:color w:val="262626"/>
              </w:rPr>
              <w:t xml:space="preserve">Global Drug Policy Program, OSF-CEU </w:t>
            </w:r>
            <w:r w:rsidR="00003778">
              <w:rPr>
                <w:rFonts w:ascii="Calibri" w:hAnsi="Calibri"/>
                <w:color w:val="262626"/>
              </w:rPr>
              <w:t>Liaison</w:t>
            </w:r>
            <w:r>
              <w:rPr>
                <w:rFonts w:ascii="Calibri" w:hAnsi="Calibri"/>
                <w:color w:val="262626"/>
              </w:rPr>
              <w:t xml:space="preserve"> Office</w:t>
            </w:r>
          </w:p>
        </w:tc>
      </w:tr>
      <w:tr w:rsidR="00394223" w:rsidTr="004E3BE0">
        <w:trPr>
          <w:trHeight w:val="23"/>
        </w:trPr>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4223" w:rsidRDefault="00394223" w:rsidP="00394223">
            <w:pPr>
              <w:rPr>
                <w:rFonts w:ascii="Calibri" w:hAnsi="Calibri"/>
                <w:b/>
                <w:bCs/>
                <w:color w:val="262626"/>
              </w:rPr>
            </w:pPr>
            <w:r>
              <w:rPr>
                <w:b/>
                <w:bCs/>
                <w:color w:val="262626"/>
              </w:rPr>
              <w:t>Coordinated by</w:t>
            </w:r>
          </w:p>
        </w:tc>
        <w:tc>
          <w:tcPr>
            <w:tcW w:w="7327" w:type="dxa"/>
            <w:gridSpan w:val="2"/>
            <w:tcBorders>
              <w:top w:val="nil"/>
              <w:left w:val="nil"/>
              <w:bottom w:val="single" w:sz="8" w:space="0" w:color="auto"/>
              <w:right w:val="single" w:sz="8" w:space="0" w:color="auto"/>
            </w:tcBorders>
            <w:tcMar>
              <w:top w:w="0" w:type="dxa"/>
              <w:left w:w="108" w:type="dxa"/>
              <w:bottom w:w="0" w:type="dxa"/>
              <w:right w:w="108" w:type="dxa"/>
            </w:tcMar>
          </w:tcPr>
          <w:p w:rsidR="00394223" w:rsidRDefault="00595998" w:rsidP="00394223">
            <w:pPr>
              <w:rPr>
                <w:rFonts w:ascii="Calibri" w:hAnsi="Calibri"/>
                <w:color w:val="262626"/>
                <w:lang w:val="pt-BR"/>
              </w:rPr>
            </w:pPr>
            <w:r>
              <w:rPr>
                <w:rFonts w:ascii="Calibri" w:hAnsi="Calibri"/>
                <w:color w:val="262626"/>
                <w:lang w:val="pt-BR"/>
              </w:rPr>
              <w:t>OSIFE</w:t>
            </w:r>
          </w:p>
        </w:tc>
      </w:tr>
      <w:tr w:rsidR="00394223" w:rsidTr="004E3BE0">
        <w:trPr>
          <w:trHeight w:val="23"/>
        </w:trPr>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4223" w:rsidRDefault="00394223" w:rsidP="00394223">
            <w:pPr>
              <w:rPr>
                <w:rFonts w:ascii="Calibri" w:hAnsi="Calibri"/>
                <w:b/>
                <w:bCs/>
                <w:color w:val="262626"/>
              </w:rPr>
            </w:pPr>
            <w:r>
              <w:rPr>
                <w:b/>
                <w:bCs/>
                <w:color w:val="262626"/>
              </w:rPr>
              <w:t>Approver (Lead)</w:t>
            </w:r>
          </w:p>
        </w:tc>
        <w:tc>
          <w:tcPr>
            <w:tcW w:w="7327" w:type="dxa"/>
            <w:gridSpan w:val="2"/>
            <w:tcBorders>
              <w:top w:val="nil"/>
              <w:left w:val="nil"/>
              <w:bottom w:val="single" w:sz="8" w:space="0" w:color="auto"/>
              <w:right w:val="single" w:sz="8" w:space="0" w:color="auto"/>
            </w:tcBorders>
            <w:tcMar>
              <w:top w:w="0" w:type="dxa"/>
              <w:left w:w="108" w:type="dxa"/>
              <w:bottom w:w="0" w:type="dxa"/>
              <w:right w:w="108" w:type="dxa"/>
            </w:tcMar>
          </w:tcPr>
          <w:p w:rsidR="00394223" w:rsidRDefault="00394223" w:rsidP="00394223">
            <w:pPr>
              <w:rPr>
                <w:rFonts w:ascii="Calibri" w:hAnsi="Calibri"/>
                <w:color w:val="262626"/>
              </w:rPr>
            </w:pPr>
            <w:r>
              <w:rPr>
                <w:rFonts w:ascii="Calibri" w:hAnsi="Calibri"/>
                <w:color w:val="262626"/>
              </w:rPr>
              <w:t xml:space="preserve"> Leonard Noisette </w:t>
            </w:r>
          </w:p>
        </w:tc>
      </w:tr>
      <w:tr w:rsidR="00394223" w:rsidTr="004E3BE0">
        <w:trPr>
          <w:trHeight w:val="379"/>
        </w:trPr>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4223" w:rsidRDefault="00394223" w:rsidP="00394223">
            <w:pPr>
              <w:rPr>
                <w:rFonts w:ascii="Calibri" w:hAnsi="Calibri"/>
                <w:b/>
                <w:bCs/>
                <w:color w:val="262626"/>
              </w:rPr>
            </w:pPr>
            <w:r>
              <w:rPr>
                <w:b/>
                <w:bCs/>
                <w:color w:val="262626"/>
              </w:rPr>
              <w:t>Date Approved</w:t>
            </w:r>
          </w:p>
        </w:tc>
        <w:tc>
          <w:tcPr>
            <w:tcW w:w="7327" w:type="dxa"/>
            <w:gridSpan w:val="2"/>
            <w:tcBorders>
              <w:top w:val="nil"/>
              <w:left w:val="nil"/>
              <w:bottom w:val="single" w:sz="8" w:space="0" w:color="auto"/>
              <w:right w:val="single" w:sz="8" w:space="0" w:color="auto"/>
            </w:tcBorders>
            <w:tcMar>
              <w:top w:w="0" w:type="dxa"/>
              <w:left w:w="108" w:type="dxa"/>
              <w:bottom w:w="0" w:type="dxa"/>
              <w:right w:w="108" w:type="dxa"/>
            </w:tcMar>
          </w:tcPr>
          <w:p w:rsidR="00394223" w:rsidRDefault="00394223" w:rsidP="00394223">
            <w:pPr>
              <w:rPr>
                <w:rFonts w:ascii="Calibri" w:hAnsi="Calibri"/>
                <w:color w:val="262626"/>
              </w:rPr>
            </w:pPr>
          </w:p>
        </w:tc>
      </w:tr>
      <w:tr w:rsidR="00394223" w:rsidTr="004E3BE0">
        <w:trPr>
          <w:trHeight w:val="23"/>
        </w:trPr>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4223" w:rsidRDefault="00394223" w:rsidP="00394223">
            <w:pPr>
              <w:rPr>
                <w:rFonts w:ascii="Calibri" w:hAnsi="Calibri"/>
                <w:b/>
                <w:bCs/>
                <w:color w:val="262626"/>
              </w:rPr>
            </w:pPr>
            <w:r w:rsidRPr="008F1536">
              <w:rPr>
                <w:b/>
                <w:bCs/>
                <w:color w:val="262626"/>
              </w:rPr>
              <w:t>Amount Requested</w:t>
            </w:r>
          </w:p>
        </w:tc>
        <w:tc>
          <w:tcPr>
            <w:tcW w:w="7327" w:type="dxa"/>
            <w:gridSpan w:val="2"/>
            <w:tcBorders>
              <w:top w:val="nil"/>
              <w:left w:val="nil"/>
              <w:bottom w:val="single" w:sz="8" w:space="0" w:color="auto"/>
              <w:right w:val="single" w:sz="8" w:space="0" w:color="auto"/>
            </w:tcBorders>
            <w:tcMar>
              <w:top w:w="0" w:type="dxa"/>
              <w:left w:w="108" w:type="dxa"/>
              <w:bottom w:w="0" w:type="dxa"/>
              <w:right w:w="108" w:type="dxa"/>
            </w:tcMar>
          </w:tcPr>
          <w:p w:rsidR="00394223" w:rsidRDefault="00E62979" w:rsidP="00394223">
            <w:pPr>
              <w:rPr>
                <w:rFonts w:ascii="Calibri" w:hAnsi="Calibri"/>
                <w:color w:val="262626"/>
              </w:rPr>
            </w:pPr>
            <w:r>
              <w:rPr>
                <w:rFonts w:ascii="Calibri" w:hAnsi="Calibri"/>
                <w:color w:val="262626"/>
              </w:rPr>
              <w:t>53,</w:t>
            </w:r>
            <w:r w:rsidR="00003778">
              <w:rPr>
                <w:rFonts w:ascii="Calibri" w:hAnsi="Calibri"/>
                <w:color w:val="262626"/>
              </w:rPr>
              <w:t>600 USD</w:t>
            </w:r>
          </w:p>
        </w:tc>
      </w:tr>
      <w:tr w:rsidR="00394223" w:rsidTr="004E3BE0">
        <w:trPr>
          <w:trHeight w:val="23"/>
        </w:trPr>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4223" w:rsidRDefault="00394223" w:rsidP="00394223">
            <w:pPr>
              <w:rPr>
                <w:rFonts w:ascii="Calibri" w:hAnsi="Calibri"/>
                <w:b/>
                <w:bCs/>
                <w:color w:val="262626"/>
              </w:rPr>
            </w:pPr>
            <w:r>
              <w:rPr>
                <w:b/>
                <w:bCs/>
                <w:color w:val="262626"/>
              </w:rPr>
              <w:t>Summary of Plans and Relation to Overall Shared Framework Goals (100 words)</w:t>
            </w:r>
            <w:r w:rsidRPr="00071ACF">
              <w:rPr>
                <w:i/>
                <w:iCs/>
                <w:sz w:val="18"/>
              </w:rPr>
              <w:t xml:space="preserve"> (</w:t>
            </w:r>
            <w:r>
              <w:rPr>
                <w:i/>
                <w:iCs/>
                <w:sz w:val="18"/>
              </w:rPr>
              <w:t>Please use language that can be inserted directly into Board reports)</w:t>
            </w:r>
          </w:p>
        </w:tc>
        <w:tc>
          <w:tcPr>
            <w:tcW w:w="7327" w:type="dxa"/>
            <w:gridSpan w:val="2"/>
            <w:tcBorders>
              <w:top w:val="nil"/>
              <w:left w:val="nil"/>
              <w:bottom w:val="single" w:sz="8" w:space="0" w:color="auto"/>
              <w:right w:val="single" w:sz="8" w:space="0" w:color="auto"/>
            </w:tcBorders>
            <w:tcMar>
              <w:top w:w="0" w:type="dxa"/>
              <w:left w:w="108" w:type="dxa"/>
              <w:bottom w:w="0" w:type="dxa"/>
              <w:right w:w="108" w:type="dxa"/>
            </w:tcMar>
          </w:tcPr>
          <w:p w:rsidR="00394223" w:rsidRPr="00003778" w:rsidRDefault="00003778" w:rsidP="00003778">
            <w:pPr>
              <w:spacing w:after="0" w:line="240" w:lineRule="auto"/>
              <w:jc w:val="both"/>
              <w:rPr>
                <w:rFonts w:cs="Times New Roman"/>
              </w:rPr>
            </w:pPr>
            <w:r w:rsidRPr="00003778">
              <w:rPr>
                <w:rFonts w:cs="Times New Roman"/>
              </w:rPr>
              <w:t xml:space="preserve">Europe will have important voices at UNGASS as most of the progressive drug policies are experimented with and have been implemented on the continent. In addition to national delegations the EU is likely to put forward its own position. The objective </w:t>
            </w:r>
            <w:r>
              <w:rPr>
                <w:rFonts w:cs="Times New Roman"/>
              </w:rPr>
              <w:t xml:space="preserve">of the project </w:t>
            </w:r>
            <w:r w:rsidRPr="00003778">
              <w:rPr>
                <w:rFonts w:cs="Times New Roman"/>
              </w:rPr>
              <w:t>is to advocate for a progressive EU position and strengthen the voice of progressive countries at UNGASS</w:t>
            </w:r>
            <w:r>
              <w:rPr>
                <w:rFonts w:cs="Times New Roman"/>
              </w:rPr>
              <w:t>.</w:t>
            </w:r>
            <w:r w:rsidRPr="00003778">
              <w:rPr>
                <w:rFonts w:cs="Times New Roman"/>
              </w:rPr>
              <w:t xml:space="preserve"> </w:t>
            </w:r>
            <w:r>
              <w:rPr>
                <w:rFonts w:cs="Times New Roman"/>
              </w:rPr>
              <w:t>The project will provide opportunities for reform NGOs to coordinate their efforts and discuss the ways how to get closer to a more progressive joint EU position at the UNGASS; and also will provide space for the civil activists to advocate with key decision makers.</w:t>
            </w:r>
          </w:p>
        </w:tc>
      </w:tr>
      <w:tr w:rsidR="00394223" w:rsidTr="004E3BE0">
        <w:trPr>
          <w:trHeight w:val="23"/>
        </w:trPr>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4223" w:rsidRDefault="00394223" w:rsidP="00394223">
            <w:pPr>
              <w:rPr>
                <w:rFonts w:ascii="Calibri" w:hAnsi="Calibri"/>
                <w:b/>
                <w:bCs/>
                <w:color w:val="262626"/>
              </w:rPr>
            </w:pPr>
            <w:r>
              <w:rPr>
                <w:b/>
                <w:bCs/>
                <w:color w:val="262626"/>
              </w:rPr>
              <w:t>Activities Proposed (500 words)</w:t>
            </w:r>
          </w:p>
        </w:tc>
        <w:tc>
          <w:tcPr>
            <w:tcW w:w="7327" w:type="dxa"/>
            <w:gridSpan w:val="2"/>
            <w:tcBorders>
              <w:top w:val="nil"/>
              <w:left w:val="nil"/>
              <w:bottom w:val="single" w:sz="8" w:space="0" w:color="auto"/>
              <w:right w:val="single" w:sz="8" w:space="0" w:color="auto"/>
            </w:tcBorders>
            <w:tcMar>
              <w:top w:w="0" w:type="dxa"/>
              <w:left w:w="108" w:type="dxa"/>
              <w:bottom w:w="0" w:type="dxa"/>
              <w:right w:w="108" w:type="dxa"/>
            </w:tcMar>
          </w:tcPr>
          <w:p w:rsidR="00595998" w:rsidRDefault="00595998" w:rsidP="00595998">
            <w:pPr>
              <w:rPr>
                <w:rFonts w:ascii="Calibri" w:hAnsi="Calibri"/>
                <w:lang w:val="en-GB"/>
              </w:rPr>
            </w:pPr>
            <w:r w:rsidRPr="00595998">
              <w:rPr>
                <w:rFonts w:ascii="Calibri" w:hAnsi="Calibri"/>
                <w:lang w:val="en-GB"/>
              </w:rPr>
              <w:t>In support of Approved Objective 2) “</w:t>
            </w:r>
            <w:r w:rsidRPr="00595998">
              <w:rPr>
                <w:rFonts w:ascii="Calibri" w:hAnsi="Calibri"/>
              </w:rPr>
              <w:t>Influence governments to actively support and speak out in national and UN fora for harm reduction and decriminalization” t</w:t>
            </w:r>
            <w:r w:rsidRPr="00595998">
              <w:rPr>
                <w:rFonts w:ascii="Calibri" w:hAnsi="Calibri"/>
                <w:lang w:val="en-GB"/>
              </w:rPr>
              <w:t xml:space="preserve">he CEU School of Public Policy (CEU SPP), Open Society Initiative for Europe (OSIFE) and the CEU-OSF Liaison Office (LiO) in partnership with the Global Drug Policy Program (GDPP) </w:t>
            </w:r>
            <w:r>
              <w:rPr>
                <w:rFonts w:ascii="Calibri" w:hAnsi="Calibri"/>
                <w:lang w:val="en-GB"/>
              </w:rPr>
              <w:t xml:space="preserve">will </w:t>
            </w:r>
            <w:r w:rsidRPr="00595998">
              <w:rPr>
                <w:rFonts w:ascii="Calibri" w:hAnsi="Calibri"/>
                <w:lang w:val="en-GB"/>
              </w:rPr>
              <w:t xml:space="preserve">organize two events </w:t>
            </w:r>
            <w:r>
              <w:rPr>
                <w:rFonts w:ascii="Calibri" w:hAnsi="Calibri"/>
                <w:lang w:val="en-GB"/>
              </w:rPr>
              <w:t xml:space="preserve">in Budapest at the CEU SPP </w:t>
            </w:r>
            <w:r w:rsidRPr="00595998">
              <w:rPr>
                <w:rFonts w:ascii="Calibri" w:hAnsi="Calibri"/>
                <w:lang w:val="en-GB"/>
              </w:rPr>
              <w:t xml:space="preserve">in </w:t>
            </w:r>
            <w:r>
              <w:rPr>
                <w:rFonts w:ascii="Calibri" w:hAnsi="Calibri"/>
                <w:lang w:val="en-GB"/>
              </w:rPr>
              <w:t>June</w:t>
            </w:r>
            <w:r w:rsidRPr="00595998">
              <w:rPr>
                <w:rFonts w:ascii="Calibri" w:hAnsi="Calibri"/>
                <w:lang w:val="en-GB"/>
              </w:rPr>
              <w:t xml:space="preserve"> and November of 2015.</w:t>
            </w:r>
          </w:p>
          <w:p w:rsidR="00595998" w:rsidRPr="00595998" w:rsidRDefault="00595998" w:rsidP="00595998">
            <w:pPr>
              <w:rPr>
                <w:rFonts w:ascii="Calibri" w:hAnsi="Calibri"/>
                <w:lang w:val="en-GB"/>
              </w:rPr>
            </w:pPr>
            <w:r>
              <w:rPr>
                <w:rFonts w:ascii="Calibri" w:hAnsi="Calibri"/>
              </w:rPr>
              <w:t>T</w:t>
            </w:r>
            <w:r w:rsidRPr="00595998">
              <w:rPr>
                <w:rFonts w:ascii="Calibri" w:hAnsi="Calibri"/>
              </w:rPr>
              <w:t>he first e</w:t>
            </w:r>
            <w:r>
              <w:rPr>
                <w:rFonts w:ascii="Calibri" w:hAnsi="Calibri"/>
              </w:rPr>
              <w:t xml:space="preserve">vent, </w:t>
            </w:r>
            <w:r w:rsidRPr="00595998">
              <w:rPr>
                <w:rFonts w:ascii="Calibri" w:hAnsi="Calibri"/>
              </w:rPr>
              <w:t xml:space="preserve">a workshop </w:t>
            </w:r>
            <w:r>
              <w:rPr>
                <w:rFonts w:ascii="Calibri" w:hAnsi="Calibri"/>
              </w:rPr>
              <w:t xml:space="preserve">will </w:t>
            </w:r>
            <w:r w:rsidRPr="00595998">
              <w:rPr>
                <w:rFonts w:ascii="Calibri" w:hAnsi="Calibri"/>
              </w:rPr>
              <w:t xml:space="preserve">bring together European drug reformist organizations, which are present at coordination fora such as the EU </w:t>
            </w:r>
            <w:r>
              <w:rPr>
                <w:rFonts w:ascii="Calibri" w:hAnsi="Calibri"/>
              </w:rPr>
              <w:t xml:space="preserve">Civil Society Forum on Drugs. </w:t>
            </w:r>
            <w:r w:rsidRPr="00595998">
              <w:rPr>
                <w:rFonts w:ascii="Calibri" w:hAnsi="Calibri"/>
              </w:rPr>
              <w:t xml:space="preserve">NGO representatives will work out a progressive platform at this meeting with the necessary fine tuning taking place on-line after the event. </w:t>
            </w:r>
          </w:p>
          <w:p w:rsidR="00595998" w:rsidRPr="00595998" w:rsidRDefault="00595998" w:rsidP="00595998">
            <w:pPr>
              <w:rPr>
                <w:rFonts w:ascii="Calibri" w:hAnsi="Calibri"/>
              </w:rPr>
            </w:pPr>
            <w:r w:rsidRPr="00595998">
              <w:rPr>
                <w:rFonts w:ascii="Calibri" w:hAnsi="Calibri"/>
              </w:rPr>
              <w:t>A second meeting -  a conference with about 25 participants - will provide a forum for NGOs behind this platform to present and debate their policy proposal with those who will likely represent national governments and the EU at UNGASS. The key figures will be those who chair the Horizontal Working Party on Drugs (DG Justice/Presidency), the main coordinating body in the field of drugs in the Gene</w:t>
            </w:r>
            <w:r>
              <w:rPr>
                <w:rFonts w:ascii="Calibri" w:hAnsi="Calibri"/>
              </w:rPr>
              <w:t xml:space="preserve">ral Secretariat of the Council; </w:t>
            </w:r>
            <w:r w:rsidRPr="00595998">
              <w:rPr>
                <w:rFonts w:ascii="Calibri" w:hAnsi="Calibri"/>
              </w:rPr>
              <w:t xml:space="preserve">National Drugs </w:t>
            </w:r>
            <w:r w:rsidRPr="00595998">
              <w:rPr>
                <w:rFonts w:ascii="Calibri" w:hAnsi="Calibri"/>
              </w:rPr>
              <w:lastRenderedPageBreak/>
              <w:t>Coordinators from a number of key counties;</w:t>
            </w:r>
            <w:r>
              <w:rPr>
                <w:rFonts w:ascii="Calibri" w:hAnsi="Calibri"/>
              </w:rPr>
              <w:t xml:space="preserve"> </w:t>
            </w:r>
            <w:r w:rsidRPr="00595998">
              <w:rPr>
                <w:rFonts w:ascii="Calibri" w:hAnsi="Calibri"/>
              </w:rPr>
              <w:t>officials within future EU Presidencies who will be responsible for the issue. Latvia, Luxemburg and the Netherlands will serve as EU presidencies from January 2015 to June 2016.</w:t>
            </w:r>
          </w:p>
          <w:p w:rsidR="00394223" w:rsidRDefault="00394223" w:rsidP="00394223">
            <w:pPr>
              <w:rPr>
                <w:rFonts w:ascii="Calibri" w:hAnsi="Calibri"/>
              </w:rPr>
            </w:pPr>
          </w:p>
        </w:tc>
      </w:tr>
      <w:tr w:rsidR="00394223" w:rsidTr="004E3BE0">
        <w:trPr>
          <w:trHeight w:val="23"/>
        </w:trPr>
        <w:tc>
          <w:tcPr>
            <w:tcW w:w="2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4223" w:rsidRDefault="00394223" w:rsidP="00394223">
            <w:pPr>
              <w:rPr>
                <w:rFonts w:ascii="Calibri" w:hAnsi="Calibri"/>
                <w:b/>
                <w:bCs/>
                <w:color w:val="262626"/>
              </w:rPr>
            </w:pPr>
            <w:r>
              <w:rPr>
                <w:b/>
                <w:bCs/>
                <w:color w:val="262626"/>
              </w:rPr>
              <w:lastRenderedPageBreak/>
              <w:t>Contributions expected from various units within OSF and essential partners or grantees (250 words)</w:t>
            </w:r>
          </w:p>
        </w:tc>
        <w:tc>
          <w:tcPr>
            <w:tcW w:w="73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03778" w:rsidRDefault="00003778" w:rsidP="00003778">
            <w:pPr>
              <w:pStyle w:val="NormalWeb"/>
              <w:spacing w:before="0" w:beforeAutospacing="0" w:after="0" w:afterAutospacing="0"/>
              <w:jc w:val="both"/>
              <w:rPr>
                <w:rStyle w:val="Emphasis"/>
                <w:rFonts w:asciiTheme="minorHAnsi" w:hAnsiTheme="minorHAnsi"/>
                <w:i w:val="0"/>
                <w:sz w:val="22"/>
                <w:szCs w:val="22"/>
              </w:rPr>
            </w:pPr>
            <w:r w:rsidRPr="00003778">
              <w:rPr>
                <w:rStyle w:val="Emphasis"/>
                <w:rFonts w:asciiTheme="minorHAnsi" w:hAnsiTheme="minorHAnsi"/>
                <w:i w:val="0"/>
                <w:sz w:val="22"/>
                <w:szCs w:val="22"/>
              </w:rPr>
              <w:t xml:space="preserve">Financial contributions: </w:t>
            </w:r>
          </w:p>
          <w:p w:rsidR="00003778" w:rsidRPr="00003778" w:rsidRDefault="00003778" w:rsidP="00003778">
            <w:pPr>
              <w:pStyle w:val="NormalWeb"/>
              <w:spacing w:before="0" w:beforeAutospacing="0" w:after="0" w:afterAutospacing="0"/>
              <w:jc w:val="both"/>
              <w:rPr>
                <w:rStyle w:val="Emphasis"/>
                <w:rFonts w:asciiTheme="minorHAnsi" w:hAnsiTheme="minorHAnsi"/>
                <w:i w:val="0"/>
                <w:sz w:val="22"/>
                <w:szCs w:val="22"/>
              </w:rPr>
            </w:pPr>
            <w:r w:rsidRPr="00003778">
              <w:rPr>
                <w:rStyle w:val="Emphasis"/>
                <w:rFonts w:asciiTheme="minorHAnsi" w:hAnsiTheme="minorHAnsi"/>
                <w:i w:val="0"/>
                <w:sz w:val="22"/>
                <w:szCs w:val="22"/>
              </w:rPr>
              <w:t>Global Drug Policy Program: 20</w:t>
            </w:r>
            <w:r w:rsidR="0075169E">
              <w:rPr>
                <w:rStyle w:val="Emphasis"/>
                <w:rFonts w:asciiTheme="minorHAnsi" w:hAnsiTheme="minorHAnsi"/>
                <w:i w:val="0"/>
                <w:sz w:val="22"/>
                <w:szCs w:val="22"/>
              </w:rPr>
              <w:t>,</w:t>
            </w:r>
            <w:r w:rsidRPr="00003778">
              <w:rPr>
                <w:rStyle w:val="Emphasis"/>
                <w:rFonts w:asciiTheme="minorHAnsi" w:hAnsiTheme="minorHAnsi"/>
                <w:i w:val="0"/>
                <w:sz w:val="22"/>
                <w:szCs w:val="22"/>
              </w:rPr>
              <w:t>000 USD</w:t>
            </w:r>
          </w:p>
          <w:p w:rsidR="00003778" w:rsidRPr="00003778" w:rsidRDefault="00003778" w:rsidP="00003778">
            <w:pPr>
              <w:pStyle w:val="NormalWeb"/>
              <w:spacing w:before="0" w:beforeAutospacing="0" w:after="0" w:afterAutospacing="0"/>
              <w:jc w:val="both"/>
              <w:rPr>
                <w:rStyle w:val="Emphasis"/>
                <w:rFonts w:asciiTheme="minorHAnsi" w:hAnsiTheme="minorHAnsi"/>
                <w:i w:val="0"/>
                <w:sz w:val="22"/>
                <w:szCs w:val="22"/>
              </w:rPr>
            </w:pPr>
            <w:r w:rsidRPr="00003778">
              <w:rPr>
                <w:rStyle w:val="Emphasis"/>
                <w:rFonts w:asciiTheme="minorHAnsi" w:hAnsiTheme="minorHAnsi"/>
                <w:i w:val="0"/>
                <w:sz w:val="22"/>
                <w:szCs w:val="22"/>
              </w:rPr>
              <w:t>Open Society Foundations Initiative for Europe (ECLP): 20</w:t>
            </w:r>
            <w:r w:rsidR="0075169E">
              <w:rPr>
                <w:rStyle w:val="Emphasis"/>
                <w:rFonts w:asciiTheme="minorHAnsi" w:hAnsiTheme="minorHAnsi"/>
                <w:i w:val="0"/>
                <w:sz w:val="22"/>
                <w:szCs w:val="22"/>
              </w:rPr>
              <w:t>,</w:t>
            </w:r>
            <w:r w:rsidRPr="00003778">
              <w:rPr>
                <w:rStyle w:val="Emphasis"/>
                <w:rFonts w:asciiTheme="minorHAnsi" w:hAnsiTheme="minorHAnsi"/>
                <w:i w:val="0"/>
                <w:sz w:val="22"/>
                <w:szCs w:val="22"/>
              </w:rPr>
              <w:t>000 USD</w:t>
            </w:r>
          </w:p>
          <w:p w:rsidR="00003778" w:rsidRPr="00003778" w:rsidRDefault="00003778" w:rsidP="00003778">
            <w:pPr>
              <w:pStyle w:val="NormalWeb"/>
              <w:spacing w:before="0" w:beforeAutospacing="0" w:after="0" w:afterAutospacing="0"/>
              <w:jc w:val="both"/>
              <w:rPr>
                <w:rStyle w:val="Emphasis"/>
                <w:rFonts w:asciiTheme="minorHAnsi" w:hAnsiTheme="minorHAnsi"/>
                <w:i w:val="0"/>
                <w:sz w:val="22"/>
                <w:szCs w:val="22"/>
                <w:lang w:val="en-GB"/>
              </w:rPr>
            </w:pPr>
            <w:r w:rsidRPr="00003778">
              <w:rPr>
                <w:rStyle w:val="Emphasis"/>
                <w:rFonts w:asciiTheme="minorHAnsi" w:hAnsiTheme="minorHAnsi"/>
                <w:i w:val="0"/>
                <w:sz w:val="22"/>
                <w:szCs w:val="22"/>
              </w:rPr>
              <w:t xml:space="preserve">CEU School of Public Policy: </w:t>
            </w:r>
            <w:r w:rsidRPr="00003778">
              <w:rPr>
                <w:rStyle w:val="Emphasis"/>
                <w:rFonts w:asciiTheme="minorHAnsi" w:hAnsiTheme="minorHAnsi"/>
                <w:i w:val="0"/>
                <w:sz w:val="22"/>
                <w:szCs w:val="22"/>
                <w:lang w:val="en-GB"/>
              </w:rPr>
              <w:t>2</w:t>
            </w:r>
            <w:r w:rsidR="0075169E">
              <w:rPr>
                <w:rStyle w:val="Emphasis"/>
                <w:rFonts w:asciiTheme="minorHAnsi" w:hAnsiTheme="minorHAnsi"/>
                <w:i w:val="0"/>
                <w:sz w:val="22"/>
                <w:szCs w:val="22"/>
                <w:lang w:val="en-GB"/>
              </w:rPr>
              <w:t>,</w:t>
            </w:r>
            <w:r w:rsidRPr="00003778">
              <w:rPr>
                <w:rStyle w:val="Emphasis"/>
                <w:rFonts w:asciiTheme="minorHAnsi" w:hAnsiTheme="minorHAnsi"/>
                <w:i w:val="0"/>
                <w:sz w:val="22"/>
                <w:szCs w:val="22"/>
                <w:lang w:val="en-GB"/>
              </w:rPr>
              <w:t>200 USD</w:t>
            </w:r>
          </w:p>
          <w:p w:rsidR="00394223" w:rsidRDefault="00394223" w:rsidP="00394223">
            <w:pPr>
              <w:pStyle w:val="ColorfulList-Accent11"/>
              <w:spacing w:after="0" w:line="240" w:lineRule="auto"/>
              <w:ind w:left="0"/>
            </w:pPr>
          </w:p>
          <w:p w:rsidR="00003778" w:rsidRDefault="00003778" w:rsidP="00394223">
            <w:pPr>
              <w:pStyle w:val="ColorfulList-Accent11"/>
              <w:spacing w:after="0" w:line="240" w:lineRule="auto"/>
              <w:ind w:left="0"/>
            </w:pPr>
            <w:r>
              <w:t>Both meetings planned in the project will be organized by the CEU SPP, with contribution in staff time from the Liaison Office, the GDPP and the ECLP.</w:t>
            </w:r>
          </w:p>
        </w:tc>
      </w:tr>
      <w:tr w:rsidR="00394223" w:rsidTr="004E3BE0">
        <w:trPr>
          <w:trHeight w:val="419"/>
        </w:trPr>
        <w:tc>
          <w:tcPr>
            <w:tcW w:w="2493" w:type="dxa"/>
            <w:vMerge w:val="restart"/>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394223" w:rsidRDefault="00394223" w:rsidP="00394223">
            <w:pPr>
              <w:rPr>
                <w:b/>
                <w:bCs/>
                <w:color w:val="262626"/>
              </w:rPr>
            </w:pPr>
            <w:r w:rsidRPr="00266A09">
              <w:rPr>
                <w:b/>
                <w:bCs/>
                <w:color w:val="262626"/>
              </w:rPr>
              <w:t xml:space="preserve">Budget transfer from the Reserve Funds to the </w:t>
            </w:r>
            <w:r>
              <w:rPr>
                <w:b/>
                <w:bCs/>
                <w:color w:val="262626"/>
              </w:rPr>
              <w:t>participating</w:t>
            </w:r>
            <w:r w:rsidRPr="00266A09">
              <w:rPr>
                <w:b/>
                <w:bCs/>
                <w:color w:val="262626"/>
              </w:rPr>
              <w:t xml:space="preserve"> unit’s own budget</w:t>
            </w:r>
            <w:r>
              <w:rPr>
                <w:b/>
                <w:bCs/>
                <w:color w:val="262626"/>
              </w:rPr>
              <w:t xml:space="preserve"> </w:t>
            </w:r>
            <w:r w:rsidRPr="00907546">
              <w:rPr>
                <w:b/>
                <w:bCs/>
                <w:color w:val="262626"/>
                <w:sz w:val="18"/>
              </w:rPr>
              <w:t>(</w:t>
            </w:r>
            <w:r w:rsidRPr="00907546">
              <w:rPr>
                <w:i/>
                <w:iCs/>
                <w:sz w:val="18"/>
              </w:rPr>
              <w:t>If the budget is split between multiple programs, please copy/paste this section as needed.)</w:t>
            </w:r>
          </w:p>
        </w:tc>
        <w:tc>
          <w:tcPr>
            <w:tcW w:w="3360"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tcPr>
          <w:p w:rsidR="00394223" w:rsidRDefault="00394223" w:rsidP="00394223">
            <w:pPr>
              <w:pStyle w:val="ColorfulList-Accent11"/>
              <w:spacing w:after="0" w:line="240" w:lineRule="auto"/>
              <w:ind w:left="0"/>
            </w:pPr>
            <w:r w:rsidRPr="00C75EF4">
              <w:rPr>
                <w:sz w:val="20"/>
              </w:rPr>
              <w:t xml:space="preserve">Amount </w:t>
            </w:r>
          </w:p>
        </w:tc>
        <w:tc>
          <w:tcPr>
            <w:tcW w:w="3967" w:type="dxa"/>
            <w:tcBorders>
              <w:top w:val="single" w:sz="8" w:space="0" w:color="auto"/>
              <w:left w:val="single" w:sz="4" w:space="0" w:color="auto"/>
              <w:bottom w:val="single" w:sz="4" w:space="0" w:color="auto"/>
              <w:right w:val="single" w:sz="8" w:space="0" w:color="auto"/>
            </w:tcBorders>
          </w:tcPr>
          <w:p w:rsidR="00394223" w:rsidRDefault="00E62979" w:rsidP="00394223">
            <w:pPr>
              <w:pStyle w:val="ColorfulList-Accent11"/>
              <w:spacing w:after="0" w:line="240" w:lineRule="auto"/>
              <w:ind w:left="0"/>
            </w:pPr>
            <w:r>
              <w:t>53,</w:t>
            </w:r>
            <w:r w:rsidR="00003778">
              <w:t>600 USD</w:t>
            </w:r>
          </w:p>
        </w:tc>
      </w:tr>
      <w:tr w:rsidR="00394223" w:rsidTr="004E3BE0">
        <w:trPr>
          <w:trHeight w:val="419"/>
        </w:trPr>
        <w:tc>
          <w:tcPr>
            <w:tcW w:w="2493" w:type="dxa"/>
            <w:vMerge/>
            <w:tcBorders>
              <w:left w:val="single" w:sz="8" w:space="0" w:color="auto"/>
              <w:bottom w:val="single" w:sz="12" w:space="0" w:color="auto"/>
              <w:right w:val="single" w:sz="8" w:space="0" w:color="auto"/>
            </w:tcBorders>
            <w:tcMar>
              <w:top w:w="0" w:type="dxa"/>
              <w:left w:w="108" w:type="dxa"/>
              <w:bottom w:w="0" w:type="dxa"/>
              <w:right w:w="108" w:type="dxa"/>
            </w:tcMar>
          </w:tcPr>
          <w:p w:rsidR="00394223" w:rsidRPr="00266A09" w:rsidRDefault="00394223" w:rsidP="00394223">
            <w:pPr>
              <w:rPr>
                <w:b/>
                <w:bCs/>
                <w:color w:val="262626"/>
              </w:rPr>
            </w:pPr>
          </w:p>
        </w:tc>
        <w:tc>
          <w:tcPr>
            <w:tcW w:w="336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394223" w:rsidRPr="00F11358" w:rsidRDefault="00394223" w:rsidP="00394223">
            <w:pPr>
              <w:pStyle w:val="ColorfulList-Accent11"/>
              <w:spacing w:after="0" w:line="240" w:lineRule="auto"/>
              <w:ind w:left="0"/>
              <w:rPr>
                <w:sz w:val="20"/>
                <w:highlight w:val="yellow"/>
              </w:rPr>
            </w:pPr>
            <w:r w:rsidRPr="00D30791">
              <w:rPr>
                <w:sz w:val="20"/>
              </w:rPr>
              <w:t>Category of Work</w:t>
            </w:r>
          </w:p>
        </w:tc>
        <w:tc>
          <w:tcPr>
            <w:tcW w:w="3967" w:type="dxa"/>
            <w:tcBorders>
              <w:top w:val="single" w:sz="4" w:space="0" w:color="auto"/>
              <w:left w:val="single" w:sz="4" w:space="0" w:color="auto"/>
              <w:bottom w:val="single" w:sz="4" w:space="0" w:color="auto"/>
              <w:right w:val="single" w:sz="8" w:space="0" w:color="auto"/>
            </w:tcBorders>
          </w:tcPr>
          <w:p w:rsidR="00394223" w:rsidRPr="00F11358" w:rsidRDefault="00D30791" w:rsidP="00394223">
            <w:pPr>
              <w:pStyle w:val="ColorfulList-Accent11"/>
              <w:spacing w:after="0" w:line="240" w:lineRule="auto"/>
              <w:ind w:left="0"/>
              <w:rPr>
                <w:highlight w:val="yellow"/>
              </w:rPr>
            </w:pPr>
            <w:r>
              <w:t>SFS006</w:t>
            </w:r>
          </w:p>
        </w:tc>
      </w:tr>
      <w:tr w:rsidR="00394223" w:rsidTr="004E3BE0">
        <w:trPr>
          <w:trHeight w:val="419"/>
        </w:trPr>
        <w:tc>
          <w:tcPr>
            <w:tcW w:w="2493" w:type="dxa"/>
            <w:vMerge/>
            <w:tcBorders>
              <w:left w:val="single" w:sz="8" w:space="0" w:color="auto"/>
              <w:bottom w:val="single" w:sz="12" w:space="0" w:color="auto"/>
              <w:right w:val="single" w:sz="8" w:space="0" w:color="auto"/>
            </w:tcBorders>
            <w:tcMar>
              <w:top w:w="0" w:type="dxa"/>
              <w:left w:w="108" w:type="dxa"/>
              <w:bottom w:w="0" w:type="dxa"/>
              <w:right w:w="108" w:type="dxa"/>
            </w:tcMar>
          </w:tcPr>
          <w:p w:rsidR="00394223" w:rsidRPr="00266A09" w:rsidRDefault="00394223" w:rsidP="00394223">
            <w:pPr>
              <w:rPr>
                <w:b/>
                <w:bCs/>
                <w:color w:val="262626"/>
              </w:rPr>
            </w:pPr>
          </w:p>
        </w:tc>
        <w:tc>
          <w:tcPr>
            <w:tcW w:w="336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394223" w:rsidRPr="00C75EF4" w:rsidRDefault="00394223" w:rsidP="00394223">
            <w:pPr>
              <w:pStyle w:val="ColorfulList-Accent11"/>
              <w:spacing w:after="0" w:line="240" w:lineRule="auto"/>
              <w:ind w:left="0"/>
              <w:rPr>
                <w:sz w:val="20"/>
              </w:rPr>
            </w:pPr>
            <w:r w:rsidRPr="00C75EF4">
              <w:rPr>
                <w:sz w:val="20"/>
              </w:rPr>
              <w:t>Division/Program Code</w:t>
            </w:r>
          </w:p>
        </w:tc>
        <w:tc>
          <w:tcPr>
            <w:tcW w:w="3967" w:type="dxa"/>
            <w:tcBorders>
              <w:top w:val="single" w:sz="4" w:space="0" w:color="auto"/>
              <w:left w:val="single" w:sz="4" w:space="0" w:color="auto"/>
              <w:bottom w:val="single" w:sz="4" w:space="0" w:color="auto"/>
              <w:right w:val="single" w:sz="8" w:space="0" w:color="auto"/>
            </w:tcBorders>
          </w:tcPr>
          <w:p w:rsidR="007E439A" w:rsidRDefault="007E439A" w:rsidP="007E439A">
            <w:pPr>
              <w:pStyle w:val="ColorfulList-Accent11"/>
              <w:spacing w:after="0" w:line="240" w:lineRule="auto"/>
              <w:ind w:left="0"/>
            </w:pPr>
            <w:r>
              <w:t>O233</w:t>
            </w:r>
          </w:p>
          <w:p w:rsidR="00394223" w:rsidRDefault="007E439A" w:rsidP="007E439A">
            <w:pPr>
              <w:pStyle w:val="ColorfulList-Accent11"/>
              <w:spacing w:after="0" w:line="240" w:lineRule="auto"/>
              <w:ind w:left="0"/>
            </w:pPr>
            <w:r w:rsidRPr="007E439A">
              <w:t>OSIFE : RIGHTS &amp; LIBERTIES : European Civil Liberties Proj.: HR Institutions and sup. for HR</w:t>
            </w:r>
            <w:r>
              <w:t xml:space="preserve"> </w:t>
            </w:r>
          </w:p>
        </w:tc>
      </w:tr>
      <w:tr w:rsidR="00394223" w:rsidTr="004E3BE0">
        <w:trPr>
          <w:trHeight w:val="419"/>
        </w:trPr>
        <w:tc>
          <w:tcPr>
            <w:tcW w:w="2493" w:type="dxa"/>
            <w:vMerge/>
            <w:tcBorders>
              <w:left w:val="single" w:sz="8" w:space="0" w:color="auto"/>
              <w:bottom w:val="single" w:sz="12" w:space="0" w:color="auto"/>
              <w:right w:val="single" w:sz="8" w:space="0" w:color="auto"/>
            </w:tcBorders>
            <w:tcMar>
              <w:top w:w="0" w:type="dxa"/>
              <w:left w:w="108" w:type="dxa"/>
              <w:bottom w:w="0" w:type="dxa"/>
              <w:right w:w="108" w:type="dxa"/>
            </w:tcMar>
          </w:tcPr>
          <w:p w:rsidR="00394223" w:rsidRPr="00266A09" w:rsidRDefault="00394223" w:rsidP="00394223">
            <w:pPr>
              <w:rPr>
                <w:b/>
                <w:bCs/>
                <w:color w:val="262626"/>
              </w:rPr>
            </w:pPr>
          </w:p>
        </w:tc>
        <w:tc>
          <w:tcPr>
            <w:tcW w:w="336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394223" w:rsidRPr="00C75EF4" w:rsidRDefault="00394223" w:rsidP="00394223">
            <w:pPr>
              <w:pStyle w:val="ColorfulList-Accent11"/>
              <w:spacing w:after="0" w:line="240" w:lineRule="auto"/>
              <w:ind w:left="0"/>
              <w:rPr>
                <w:sz w:val="20"/>
              </w:rPr>
            </w:pPr>
            <w:r w:rsidRPr="00C75EF4">
              <w:rPr>
                <w:sz w:val="20"/>
              </w:rPr>
              <w:t xml:space="preserve">Entity </w:t>
            </w:r>
            <w:r w:rsidRPr="00C75EF4">
              <w:rPr>
                <w:i/>
                <w:sz w:val="20"/>
              </w:rPr>
              <w:t>(i.e., FPOS, ZUG)</w:t>
            </w:r>
          </w:p>
        </w:tc>
        <w:tc>
          <w:tcPr>
            <w:tcW w:w="3967" w:type="dxa"/>
            <w:tcBorders>
              <w:top w:val="single" w:sz="4" w:space="0" w:color="auto"/>
              <w:left w:val="single" w:sz="4" w:space="0" w:color="auto"/>
              <w:bottom w:val="single" w:sz="4" w:space="0" w:color="auto"/>
              <w:right w:val="single" w:sz="8" w:space="0" w:color="auto"/>
            </w:tcBorders>
          </w:tcPr>
          <w:p w:rsidR="00394223" w:rsidRDefault="0019185E" w:rsidP="00394223">
            <w:pPr>
              <w:pStyle w:val="ColorfulList-Accent11"/>
              <w:spacing w:after="0" w:line="240" w:lineRule="auto"/>
              <w:ind w:left="0"/>
            </w:pPr>
            <w:r>
              <w:t>ZUG</w:t>
            </w:r>
          </w:p>
        </w:tc>
      </w:tr>
      <w:tr w:rsidR="00394223" w:rsidTr="004E3BE0">
        <w:trPr>
          <w:trHeight w:val="419"/>
        </w:trPr>
        <w:tc>
          <w:tcPr>
            <w:tcW w:w="2493" w:type="dxa"/>
            <w:vMerge/>
            <w:tcBorders>
              <w:left w:val="single" w:sz="8" w:space="0" w:color="auto"/>
              <w:bottom w:val="single" w:sz="12" w:space="0" w:color="auto"/>
              <w:right w:val="single" w:sz="8" w:space="0" w:color="auto"/>
            </w:tcBorders>
            <w:tcMar>
              <w:top w:w="0" w:type="dxa"/>
              <w:left w:w="108" w:type="dxa"/>
              <w:bottom w:w="0" w:type="dxa"/>
              <w:right w:w="108" w:type="dxa"/>
            </w:tcMar>
          </w:tcPr>
          <w:p w:rsidR="00394223" w:rsidRPr="00266A09" w:rsidRDefault="00394223" w:rsidP="00394223">
            <w:pPr>
              <w:rPr>
                <w:b/>
                <w:bCs/>
                <w:color w:val="262626"/>
              </w:rPr>
            </w:pPr>
          </w:p>
        </w:tc>
        <w:tc>
          <w:tcPr>
            <w:tcW w:w="336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394223" w:rsidRPr="00C75EF4" w:rsidRDefault="00394223" w:rsidP="00394223">
            <w:pPr>
              <w:pStyle w:val="ColorfulList-Accent11"/>
              <w:spacing w:after="0" w:line="240" w:lineRule="auto"/>
              <w:ind w:left="0"/>
              <w:rPr>
                <w:sz w:val="20"/>
              </w:rPr>
            </w:pPr>
            <w:r w:rsidRPr="00C75EF4">
              <w:rPr>
                <w:sz w:val="20"/>
              </w:rPr>
              <w:t xml:space="preserve">Fund Class </w:t>
            </w:r>
            <w:r>
              <w:rPr>
                <w:i/>
                <w:sz w:val="20"/>
              </w:rPr>
              <w:t>(i.e., Lobby/Non-Lobby</w:t>
            </w:r>
            <w:r w:rsidRPr="00C75EF4">
              <w:rPr>
                <w:i/>
                <w:sz w:val="20"/>
              </w:rPr>
              <w:t>)</w:t>
            </w:r>
          </w:p>
        </w:tc>
        <w:tc>
          <w:tcPr>
            <w:tcW w:w="3967" w:type="dxa"/>
            <w:tcBorders>
              <w:top w:val="single" w:sz="4" w:space="0" w:color="auto"/>
              <w:left w:val="single" w:sz="4" w:space="0" w:color="auto"/>
              <w:bottom w:val="single" w:sz="4" w:space="0" w:color="auto"/>
              <w:right w:val="single" w:sz="8" w:space="0" w:color="auto"/>
            </w:tcBorders>
          </w:tcPr>
          <w:p w:rsidR="00394223" w:rsidRDefault="00003778" w:rsidP="00394223">
            <w:pPr>
              <w:pStyle w:val="ColorfulList-Accent11"/>
              <w:spacing w:after="0" w:line="240" w:lineRule="auto"/>
              <w:ind w:left="0"/>
            </w:pPr>
            <w:r>
              <w:t>Lobby</w:t>
            </w:r>
          </w:p>
        </w:tc>
      </w:tr>
      <w:tr w:rsidR="00394223" w:rsidTr="004E3BE0">
        <w:trPr>
          <w:trHeight w:val="420"/>
        </w:trPr>
        <w:tc>
          <w:tcPr>
            <w:tcW w:w="2493" w:type="dxa"/>
            <w:vMerge/>
            <w:tcBorders>
              <w:left w:val="single" w:sz="8" w:space="0" w:color="auto"/>
              <w:bottom w:val="single" w:sz="4" w:space="0" w:color="auto"/>
              <w:right w:val="single" w:sz="8" w:space="0" w:color="auto"/>
            </w:tcBorders>
            <w:tcMar>
              <w:top w:w="0" w:type="dxa"/>
              <w:left w:w="108" w:type="dxa"/>
              <w:bottom w:w="0" w:type="dxa"/>
              <w:right w:w="108" w:type="dxa"/>
            </w:tcMar>
          </w:tcPr>
          <w:p w:rsidR="00394223" w:rsidRPr="00266A09" w:rsidRDefault="00394223" w:rsidP="00394223">
            <w:pPr>
              <w:rPr>
                <w:b/>
                <w:bCs/>
                <w:color w:val="262626"/>
              </w:rPr>
            </w:pPr>
          </w:p>
        </w:tc>
        <w:tc>
          <w:tcPr>
            <w:tcW w:w="336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394223" w:rsidRPr="00C75EF4" w:rsidRDefault="00394223" w:rsidP="00394223">
            <w:pPr>
              <w:pStyle w:val="ColorfulList-Accent11"/>
              <w:spacing w:after="0" w:line="240" w:lineRule="auto"/>
              <w:ind w:left="0"/>
              <w:rPr>
                <w:sz w:val="20"/>
              </w:rPr>
            </w:pPr>
            <w:r w:rsidRPr="00C75EF4">
              <w:rPr>
                <w:sz w:val="20"/>
              </w:rPr>
              <w:t xml:space="preserve">Geography </w:t>
            </w:r>
            <w:r w:rsidRPr="00C75EF4">
              <w:rPr>
                <w:i/>
                <w:sz w:val="20"/>
              </w:rPr>
              <w:t>(of benefit)</w:t>
            </w:r>
          </w:p>
        </w:tc>
        <w:tc>
          <w:tcPr>
            <w:tcW w:w="3967" w:type="dxa"/>
            <w:tcBorders>
              <w:top w:val="single" w:sz="4" w:space="0" w:color="auto"/>
              <w:left w:val="single" w:sz="4" w:space="0" w:color="auto"/>
              <w:bottom w:val="single" w:sz="4" w:space="0" w:color="auto"/>
              <w:right w:val="single" w:sz="8" w:space="0" w:color="auto"/>
            </w:tcBorders>
          </w:tcPr>
          <w:p w:rsidR="006D1852" w:rsidRDefault="00003778" w:rsidP="00394223">
            <w:pPr>
              <w:pStyle w:val="ColorfulList-Accent11"/>
              <w:spacing w:after="0" w:line="240" w:lineRule="auto"/>
              <w:ind w:left="0"/>
            </w:pPr>
            <w:r>
              <w:t>Europe</w:t>
            </w:r>
          </w:p>
        </w:tc>
      </w:tr>
    </w:tbl>
    <w:p w:rsidR="009738A2" w:rsidRDefault="009738A2" w:rsidP="00394223">
      <w:pPr>
        <w:jc w:val="center"/>
      </w:pPr>
    </w:p>
    <w:sectPr w:rsidR="009738A2" w:rsidSect="00394223">
      <w:headerReference w:type="default" r:id="rId8"/>
      <w:pgSz w:w="12240" w:h="15840"/>
      <w:pgMar w:top="905"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F81" w:rsidRDefault="00756F81" w:rsidP="00394223">
      <w:pPr>
        <w:spacing w:after="0" w:line="240" w:lineRule="auto"/>
      </w:pPr>
      <w:r>
        <w:separator/>
      </w:r>
    </w:p>
  </w:endnote>
  <w:endnote w:type="continuationSeparator" w:id="0">
    <w:p w:rsidR="00756F81" w:rsidRDefault="00756F81" w:rsidP="0039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F81" w:rsidRDefault="00756F81" w:rsidP="00394223">
      <w:pPr>
        <w:spacing w:after="0" w:line="240" w:lineRule="auto"/>
      </w:pPr>
      <w:r>
        <w:separator/>
      </w:r>
    </w:p>
  </w:footnote>
  <w:footnote w:type="continuationSeparator" w:id="0">
    <w:p w:rsidR="00756F81" w:rsidRDefault="00756F81" w:rsidP="00394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791" w:rsidRDefault="00D30791" w:rsidP="00D30791">
    <w:pPr>
      <w:jc w:val="center"/>
      <w:rPr>
        <w:b/>
        <w:sz w:val="28"/>
      </w:rPr>
    </w:pPr>
  </w:p>
  <w:p w:rsidR="00D30791" w:rsidRDefault="00D30791" w:rsidP="00D30791">
    <w:pPr>
      <w:jc w:val="center"/>
    </w:pPr>
    <w:r>
      <w:rPr>
        <w:b/>
        <w:sz w:val="28"/>
      </w:rPr>
      <w:t xml:space="preserve">Budget Allocation Form - </w:t>
    </w:r>
    <w:r w:rsidRPr="00152D10">
      <w:rPr>
        <w:b/>
        <w:sz w:val="28"/>
      </w:rPr>
      <w:t>Shared Frameworks</w:t>
    </w:r>
  </w:p>
  <w:p w:rsidR="00D30791" w:rsidRDefault="00D30791">
    <w:pPr>
      <w:pStyle w:val="Header"/>
    </w:pPr>
  </w:p>
  <w:p w:rsidR="00394223" w:rsidRDefault="00394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F03EA"/>
    <w:multiLevelType w:val="hybridMultilevel"/>
    <w:tmpl w:val="95AE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8B2A65"/>
    <w:multiLevelType w:val="hybridMultilevel"/>
    <w:tmpl w:val="45F6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23"/>
    <w:rsid w:val="00003778"/>
    <w:rsid w:val="0019185E"/>
    <w:rsid w:val="00324011"/>
    <w:rsid w:val="00394223"/>
    <w:rsid w:val="004E3BE0"/>
    <w:rsid w:val="00595998"/>
    <w:rsid w:val="005E07C5"/>
    <w:rsid w:val="006D1852"/>
    <w:rsid w:val="007469E3"/>
    <w:rsid w:val="0075169E"/>
    <w:rsid w:val="00756F81"/>
    <w:rsid w:val="007E439A"/>
    <w:rsid w:val="009738A2"/>
    <w:rsid w:val="009F24E0"/>
    <w:rsid w:val="00B31559"/>
    <w:rsid w:val="00D30791"/>
    <w:rsid w:val="00E62979"/>
    <w:rsid w:val="00F11358"/>
    <w:rsid w:val="00F1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394223"/>
    <w:pPr>
      <w:ind w:left="720"/>
      <w:contextualSpacing/>
    </w:pPr>
    <w:rPr>
      <w:rFonts w:ascii="Calibri" w:hAnsi="Calibri" w:cs="Times New Roman"/>
    </w:rPr>
  </w:style>
  <w:style w:type="paragraph" w:styleId="Header">
    <w:name w:val="header"/>
    <w:basedOn w:val="Normal"/>
    <w:link w:val="HeaderChar"/>
    <w:uiPriority w:val="99"/>
    <w:unhideWhenUsed/>
    <w:rsid w:val="0039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223"/>
  </w:style>
  <w:style w:type="paragraph" w:styleId="Footer">
    <w:name w:val="footer"/>
    <w:basedOn w:val="Normal"/>
    <w:link w:val="FooterChar"/>
    <w:uiPriority w:val="99"/>
    <w:unhideWhenUsed/>
    <w:rsid w:val="0039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223"/>
  </w:style>
  <w:style w:type="character" w:styleId="Hyperlink">
    <w:name w:val="Hyperlink"/>
    <w:basedOn w:val="DefaultParagraphFont"/>
    <w:uiPriority w:val="99"/>
    <w:unhideWhenUsed/>
    <w:rsid w:val="00595998"/>
    <w:rPr>
      <w:color w:val="0000FF" w:themeColor="hyperlink"/>
      <w:u w:val="single"/>
    </w:rPr>
  </w:style>
  <w:style w:type="paragraph" w:styleId="NormalWeb">
    <w:name w:val="Normal (Web)"/>
    <w:basedOn w:val="Normal"/>
    <w:uiPriority w:val="99"/>
    <w:semiHidden/>
    <w:unhideWhenUsed/>
    <w:rsid w:val="00003778"/>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003778"/>
    <w:rPr>
      <w:i/>
      <w:iCs/>
    </w:rPr>
  </w:style>
  <w:style w:type="paragraph" w:styleId="BalloonText">
    <w:name w:val="Balloon Text"/>
    <w:basedOn w:val="Normal"/>
    <w:link w:val="BalloonTextChar"/>
    <w:uiPriority w:val="99"/>
    <w:semiHidden/>
    <w:unhideWhenUsed/>
    <w:rsid w:val="00D30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394223"/>
    <w:pPr>
      <w:ind w:left="720"/>
      <w:contextualSpacing/>
    </w:pPr>
    <w:rPr>
      <w:rFonts w:ascii="Calibri" w:hAnsi="Calibri" w:cs="Times New Roman"/>
    </w:rPr>
  </w:style>
  <w:style w:type="paragraph" w:styleId="Header">
    <w:name w:val="header"/>
    <w:basedOn w:val="Normal"/>
    <w:link w:val="HeaderChar"/>
    <w:uiPriority w:val="99"/>
    <w:unhideWhenUsed/>
    <w:rsid w:val="0039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223"/>
  </w:style>
  <w:style w:type="paragraph" w:styleId="Footer">
    <w:name w:val="footer"/>
    <w:basedOn w:val="Normal"/>
    <w:link w:val="FooterChar"/>
    <w:uiPriority w:val="99"/>
    <w:unhideWhenUsed/>
    <w:rsid w:val="0039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223"/>
  </w:style>
  <w:style w:type="character" w:styleId="Hyperlink">
    <w:name w:val="Hyperlink"/>
    <w:basedOn w:val="DefaultParagraphFont"/>
    <w:uiPriority w:val="99"/>
    <w:unhideWhenUsed/>
    <w:rsid w:val="00595998"/>
    <w:rPr>
      <w:color w:val="0000FF" w:themeColor="hyperlink"/>
      <w:u w:val="single"/>
    </w:rPr>
  </w:style>
  <w:style w:type="paragraph" w:styleId="NormalWeb">
    <w:name w:val="Normal (Web)"/>
    <w:basedOn w:val="Normal"/>
    <w:uiPriority w:val="99"/>
    <w:semiHidden/>
    <w:unhideWhenUsed/>
    <w:rsid w:val="00003778"/>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003778"/>
    <w:rPr>
      <w:i/>
      <w:iCs/>
    </w:rPr>
  </w:style>
  <w:style w:type="paragraph" w:styleId="BalloonText">
    <w:name w:val="Balloon Text"/>
    <w:basedOn w:val="Normal"/>
    <w:link w:val="BalloonTextChar"/>
    <w:uiPriority w:val="99"/>
    <w:semiHidden/>
    <w:unhideWhenUsed/>
    <w:rsid w:val="00D30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OSF Budapest</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Williams</dc:creator>
  <cp:lastModifiedBy>Steven Grote</cp:lastModifiedBy>
  <cp:revision>2</cp:revision>
  <dcterms:created xsi:type="dcterms:W3CDTF">2015-04-14T19:08:00Z</dcterms:created>
  <dcterms:modified xsi:type="dcterms:W3CDTF">2015-04-14T19:08:00Z</dcterms:modified>
</cp:coreProperties>
</file>