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5C" w:rsidRDefault="00ED375C" w:rsidP="00ED375C">
      <w:r>
        <w:t> </w:t>
      </w:r>
    </w:p>
    <w:tbl>
      <w:tblPr>
        <w:tblW w:w="9576" w:type="dxa"/>
        <w:tblCellMar>
          <w:left w:w="0" w:type="dxa"/>
          <w:right w:w="0" w:type="dxa"/>
        </w:tblCellMar>
        <w:tblLook w:val="04A0" w:firstRow="1" w:lastRow="0" w:firstColumn="1" w:lastColumn="0" w:noHBand="0" w:noVBand="1"/>
      </w:tblPr>
      <w:tblGrid>
        <w:gridCol w:w="2178"/>
        <w:gridCol w:w="7398"/>
      </w:tblGrid>
      <w:tr w:rsidR="00ED375C" w:rsidTr="00ED375C">
        <w:trPr>
          <w:trHeight w:val="350"/>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Proposal Title</w:t>
            </w:r>
          </w:p>
        </w:tc>
        <w:tc>
          <w:tcPr>
            <w:tcW w:w="73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rPr>
                <w:b/>
                <w:bCs/>
              </w:rPr>
              <w:t xml:space="preserve">Countering the anti-migrant rhetoric and toxic narratives surrounding  migration in Europe </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Reserve Fund</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rPr>
                <w:color w:val="262626"/>
              </w:rPr>
              <w:t>Europe Reserve Fund</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Amount Requested</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rPr>
                <w:color w:val="262626"/>
              </w:rPr>
              <w:t xml:space="preserve">USD 600,000 </w:t>
            </w:r>
          </w:p>
          <w:p w:rsidR="00ED375C" w:rsidRDefault="00ED375C">
            <w:pPr>
              <w:spacing w:before="60" w:after="60"/>
            </w:pPr>
            <w:r>
              <w:rPr>
                <w:color w:val="262626"/>
              </w:rPr>
              <w:t> </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Unforeseen Need (250 words)</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t xml:space="preserve">The debate around migration in Europe has become increasingly anti-migrant both at the political and public level.  In 2015, the high number of refugee arrivals and the terrorist attacks in Paris in </w:t>
            </w:r>
            <w:proofErr w:type="gramStart"/>
            <w:r>
              <w:t>November,</w:t>
            </w:r>
            <w:proofErr w:type="gramEnd"/>
            <w:r>
              <w:t xml:space="preserve"> have eroded much of the sympathy towards refugees that was present earlier that year. </w:t>
            </w:r>
          </w:p>
          <w:p w:rsidR="00ED375C" w:rsidRDefault="00ED375C">
            <w:pPr>
              <w:spacing w:before="60" w:after="60"/>
            </w:pPr>
            <w:r>
              <w:rPr>
                <w:color w:val="262626"/>
              </w:rPr>
              <w:t xml:space="preserve">Right wing populist politicians capitalize on the rising fears and growing animosity towards migrants. While Germany started in mid-2015 with a widespread welcoming attitude towards refugees, by now general sentiment leans towards closure of borders. According to ZDF </w:t>
            </w:r>
            <w:proofErr w:type="spellStart"/>
            <w:r>
              <w:rPr>
                <w:color w:val="262626"/>
              </w:rPr>
              <w:t>Politbarometer</w:t>
            </w:r>
            <w:proofErr w:type="spellEnd"/>
            <w:r>
              <w:rPr>
                <w:color w:val="262626"/>
              </w:rPr>
              <w:t xml:space="preserve"> 58% of Germans said to be in favor of border controls, even if it would affect the economy and tourism.  Violent attacks on refugee shelters and anti-refugee street mobs are becoming daily news in the country. In 2015, 1600 crimes against refugees were registered –double the number of 2014.   </w:t>
            </w:r>
          </w:p>
          <w:p w:rsidR="00ED375C" w:rsidRDefault="00ED375C">
            <w:pPr>
              <w:spacing w:before="60" w:after="60"/>
            </w:pPr>
            <w:r>
              <w:rPr>
                <w:color w:val="262626"/>
              </w:rPr>
              <w:t>Sweden, the other traditional stronghold of solidarity towards refugees, is facing similar challenges. Sweden Democrats (SD), nationalist party which rallies with anti-refugee slogans has seen its support base expanding and becoming the third biggest party by now. Violent attacks against refugee shelters are on the rise.</w:t>
            </w:r>
          </w:p>
          <w:p w:rsidR="00ED375C" w:rsidRDefault="00ED375C">
            <w:pPr>
              <w:spacing w:before="60" w:after="60"/>
            </w:pPr>
            <w:r>
              <w:rPr>
                <w:color w:val="262626"/>
              </w:rPr>
              <w:t>Paradoxically anti-migrant sentiment is even more prevalent in regions, where few migrants reside. V4 countries repeatedly oppose relocation of refugees and encourage closure of the borders. While V4 portrays itself as fighting for the integrity of the Schengen zone, they veto practically all initiatives that seek relocation and solidarity in the EU.  Public attitudes in the region towards migrants are one of the most hostile in whole Europe.</w:t>
            </w:r>
          </w:p>
          <w:p w:rsidR="00ED375C" w:rsidRDefault="00ED375C">
            <w:pPr>
              <w:spacing w:before="60" w:after="60"/>
            </w:pPr>
            <w:r>
              <w:rPr>
                <w:color w:val="262626"/>
              </w:rPr>
              <w:t> </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Activities Proposed (500 words)</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r>
              <w:rPr>
                <w:color w:val="262626"/>
              </w:rPr>
              <w:t xml:space="preserve">1. Seed funding to the multi-country </w:t>
            </w:r>
            <w:r>
              <w:rPr>
                <w:b/>
                <w:bCs/>
                <w:color w:val="262626"/>
                <w:u w:val="single"/>
              </w:rPr>
              <w:t xml:space="preserve">Refugee and migration movement-building lab </w:t>
            </w:r>
            <w:r>
              <w:rPr>
                <w:color w:val="262626"/>
              </w:rPr>
              <w:t xml:space="preserve">hosted by the social incubator </w:t>
            </w:r>
            <w:r>
              <w:rPr>
                <w:b/>
                <w:bCs/>
                <w:color w:val="262626"/>
                <w:u w:val="single"/>
              </w:rPr>
              <w:t>Purpose</w:t>
            </w:r>
            <w:r>
              <w:rPr>
                <w:b/>
                <w:bCs/>
                <w:color w:val="262626"/>
              </w:rPr>
              <w:t>.</w:t>
            </w:r>
            <w:r>
              <w:rPr>
                <w:color w:val="262626"/>
              </w:rPr>
              <w:t xml:space="preserve"> The Lab will look into engaging the public already sympathizing with the struggle of refugees and to address the undecided middle populations with the final aims to re-frame the general attitude to a more positive standpoint. To achieve this it will work to:</w:t>
            </w:r>
          </w:p>
          <w:p w:rsidR="00ED375C" w:rsidRDefault="00ED375C" w:rsidP="00C82B37">
            <w:pPr>
              <w:pStyle w:val="ListParagraph"/>
              <w:numPr>
                <w:ilvl w:val="0"/>
                <w:numId w:val="1"/>
              </w:numPr>
              <w:spacing w:line="276" w:lineRule="auto"/>
            </w:pPr>
            <w:r>
              <w:rPr>
                <w:color w:val="262626"/>
                <w:lang w:val="pt-BR"/>
              </w:rPr>
              <w:t xml:space="preserve">Connect </w:t>
            </w:r>
            <w:proofErr w:type="spellStart"/>
            <w:r>
              <w:rPr>
                <w:color w:val="262626"/>
                <w:lang w:val="pt-BR"/>
              </w:rPr>
              <w:t>organizations</w:t>
            </w:r>
            <w:proofErr w:type="spellEnd"/>
            <w:r>
              <w:rPr>
                <w:color w:val="262626"/>
                <w:lang w:val="pt-BR"/>
              </w:rPr>
              <w:t xml:space="preserve"> </w:t>
            </w:r>
            <w:proofErr w:type="spellStart"/>
            <w:r>
              <w:rPr>
                <w:color w:val="262626"/>
                <w:lang w:val="pt-BR"/>
              </w:rPr>
              <w:t>already</w:t>
            </w:r>
            <w:proofErr w:type="spellEnd"/>
            <w:r>
              <w:rPr>
                <w:color w:val="262626"/>
                <w:lang w:val="pt-BR"/>
              </w:rPr>
              <w:t xml:space="preserve"> </w:t>
            </w:r>
            <w:proofErr w:type="spellStart"/>
            <w:r>
              <w:rPr>
                <w:color w:val="262626"/>
                <w:lang w:val="pt-BR"/>
              </w:rPr>
              <w:t>active</w:t>
            </w:r>
            <w:proofErr w:type="spellEnd"/>
            <w:r>
              <w:rPr>
                <w:color w:val="262626"/>
                <w:lang w:val="pt-BR"/>
              </w:rPr>
              <w:t xml:space="preserve"> in </w:t>
            </w:r>
            <w:proofErr w:type="spellStart"/>
            <w:r>
              <w:rPr>
                <w:color w:val="262626"/>
                <w:lang w:val="pt-BR"/>
              </w:rPr>
              <w:t>the</w:t>
            </w:r>
            <w:proofErr w:type="spellEnd"/>
            <w:r>
              <w:rPr>
                <w:color w:val="262626"/>
                <w:lang w:val="pt-BR"/>
              </w:rPr>
              <w:t xml:space="preserve"> </w:t>
            </w:r>
            <w:proofErr w:type="spellStart"/>
            <w:proofErr w:type="gramStart"/>
            <w:r>
              <w:rPr>
                <w:color w:val="262626"/>
                <w:lang w:val="pt-BR"/>
              </w:rPr>
              <w:t>field</w:t>
            </w:r>
            <w:proofErr w:type="spellEnd"/>
            <w:proofErr w:type="gramEnd"/>
            <w:r>
              <w:rPr>
                <w:color w:val="262626"/>
                <w:lang w:val="pt-BR"/>
              </w:rPr>
              <w:t xml:space="preserve"> </w:t>
            </w:r>
            <w:proofErr w:type="spellStart"/>
            <w:r>
              <w:rPr>
                <w:color w:val="262626"/>
                <w:lang w:val="pt-BR"/>
              </w:rPr>
              <w:t>of</w:t>
            </w:r>
            <w:proofErr w:type="spellEnd"/>
            <w:r>
              <w:rPr>
                <w:color w:val="262626"/>
                <w:lang w:val="pt-BR"/>
              </w:rPr>
              <w:t xml:space="preserve"> </w:t>
            </w:r>
            <w:proofErr w:type="spellStart"/>
            <w:r>
              <w:rPr>
                <w:color w:val="262626"/>
                <w:lang w:val="pt-BR"/>
              </w:rPr>
              <w:t>migration</w:t>
            </w:r>
            <w:proofErr w:type="spellEnd"/>
            <w:r>
              <w:rPr>
                <w:color w:val="262626"/>
                <w:lang w:val="pt-BR"/>
              </w:rPr>
              <w:t xml:space="preserve"> </w:t>
            </w:r>
            <w:proofErr w:type="spellStart"/>
            <w:r>
              <w:rPr>
                <w:color w:val="262626"/>
                <w:lang w:val="pt-BR"/>
              </w:rPr>
              <w:t>such</w:t>
            </w:r>
            <w:proofErr w:type="spellEnd"/>
            <w:r>
              <w:rPr>
                <w:color w:val="262626"/>
                <w:lang w:val="pt-BR"/>
              </w:rPr>
              <w:t xml:space="preserve"> as </w:t>
            </w:r>
            <w:proofErr w:type="spellStart"/>
            <w:r>
              <w:rPr>
                <w:color w:val="262626"/>
                <w:lang w:val="pt-BR"/>
              </w:rPr>
              <w:t>migrant</w:t>
            </w:r>
            <w:proofErr w:type="spellEnd"/>
            <w:r>
              <w:rPr>
                <w:color w:val="262626"/>
                <w:lang w:val="pt-BR"/>
              </w:rPr>
              <w:t xml:space="preserve"> </w:t>
            </w:r>
            <w:proofErr w:type="spellStart"/>
            <w:r>
              <w:rPr>
                <w:color w:val="262626"/>
                <w:lang w:val="pt-BR"/>
              </w:rPr>
              <w:t>organizations</w:t>
            </w:r>
            <w:proofErr w:type="spellEnd"/>
            <w:r>
              <w:rPr>
                <w:color w:val="262626"/>
                <w:lang w:val="pt-BR"/>
              </w:rPr>
              <w:t xml:space="preserve">, </w:t>
            </w:r>
            <w:proofErr w:type="spellStart"/>
            <w:r>
              <w:rPr>
                <w:color w:val="262626"/>
                <w:lang w:val="pt-BR"/>
              </w:rPr>
              <w:t>service</w:t>
            </w:r>
            <w:proofErr w:type="spellEnd"/>
            <w:r>
              <w:rPr>
                <w:color w:val="262626"/>
                <w:lang w:val="pt-BR"/>
              </w:rPr>
              <w:t xml:space="preserve"> </w:t>
            </w:r>
            <w:proofErr w:type="spellStart"/>
            <w:r>
              <w:rPr>
                <w:color w:val="262626"/>
                <w:lang w:val="pt-BR"/>
              </w:rPr>
              <w:t>provision</w:t>
            </w:r>
            <w:proofErr w:type="spellEnd"/>
            <w:r>
              <w:rPr>
                <w:color w:val="262626"/>
                <w:lang w:val="pt-BR"/>
              </w:rPr>
              <w:t xml:space="preserve"> </w:t>
            </w:r>
            <w:proofErr w:type="spellStart"/>
            <w:r>
              <w:rPr>
                <w:color w:val="262626"/>
                <w:lang w:val="pt-BR"/>
              </w:rPr>
              <w:t>communities</w:t>
            </w:r>
            <w:proofErr w:type="spellEnd"/>
          </w:p>
          <w:p w:rsidR="00ED375C" w:rsidRDefault="00ED375C" w:rsidP="00C82B37">
            <w:pPr>
              <w:pStyle w:val="ListParagraph"/>
              <w:numPr>
                <w:ilvl w:val="0"/>
                <w:numId w:val="1"/>
              </w:numPr>
              <w:spacing w:line="276" w:lineRule="auto"/>
            </w:pPr>
            <w:r>
              <w:rPr>
                <w:color w:val="262626"/>
                <w:lang w:val="pt-BR"/>
              </w:rPr>
              <w:t xml:space="preserve">Improve </w:t>
            </w:r>
            <w:proofErr w:type="spellStart"/>
            <w:r>
              <w:rPr>
                <w:color w:val="262626"/>
                <w:lang w:val="pt-BR"/>
              </w:rPr>
              <w:t>their</w:t>
            </w:r>
            <w:proofErr w:type="spellEnd"/>
            <w:r>
              <w:rPr>
                <w:color w:val="262626"/>
                <w:lang w:val="pt-BR"/>
              </w:rPr>
              <w:t xml:space="preserve"> </w:t>
            </w:r>
            <w:proofErr w:type="spellStart"/>
            <w:r>
              <w:rPr>
                <w:color w:val="262626"/>
                <w:lang w:val="pt-BR"/>
              </w:rPr>
              <w:t>capacity</w:t>
            </w:r>
            <w:proofErr w:type="spellEnd"/>
            <w:r>
              <w:rPr>
                <w:color w:val="262626"/>
                <w:lang w:val="pt-BR"/>
              </w:rPr>
              <w:t xml:space="preserve"> in communication </w:t>
            </w:r>
            <w:proofErr w:type="spellStart"/>
            <w:r>
              <w:rPr>
                <w:color w:val="262626"/>
                <w:lang w:val="pt-BR"/>
              </w:rPr>
              <w:t>and</w:t>
            </w:r>
            <w:proofErr w:type="spellEnd"/>
            <w:r>
              <w:rPr>
                <w:color w:val="262626"/>
                <w:lang w:val="pt-BR"/>
              </w:rPr>
              <w:t xml:space="preserve"> </w:t>
            </w:r>
            <w:proofErr w:type="spellStart"/>
            <w:r>
              <w:rPr>
                <w:color w:val="262626"/>
                <w:lang w:val="pt-BR"/>
              </w:rPr>
              <w:t>mobilization</w:t>
            </w:r>
            <w:proofErr w:type="spellEnd"/>
            <w:r>
              <w:rPr>
                <w:color w:val="262626"/>
                <w:lang w:val="pt-BR"/>
              </w:rPr>
              <w:t xml:space="preserve"> </w:t>
            </w:r>
            <w:proofErr w:type="spellStart"/>
            <w:r>
              <w:rPr>
                <w:color w:val="262626"/>
                <w:lang w:val="pt-BR"/>
              </w:rPr>
              <w:t>of</w:t>
            </w:r>
            <w:proofErr w:type="spellEnd"/>
            <w:r>
              <w:rPr>
                <w:color w:val="262626"/>
                <w:lang w:val="pt-BR"/>
              </w:rPr>
              <w:t xml:space="preserve"> local </w:t>
            </w:r>
            <w:proofErr w:type="spellStart"/>
            <w:r>
              <w:rPr>
                <w:color w:val="262626"/>
                <w:lang w:val="pt-BR"/>
              </w:rPr>
              <w:t>communities</w:t>
            </w:r>
            <w:proofErr w:type="spellEnd"/>
            <w:r>
              <w:rPr>
                <w:color w:val="262626"/>
                <w:lang w:val="pt-BR"/>
              </w:rPr>
              <w:t xml:space="preserve"> </w:t>
            </w:r>
            <w:proofErr w:type="spellStart"/>
            <w:r>
              <w:rPr>
                <w:color w:val="262626"/>
                <w:lang w:val="pt-BR"/>
              </w:rPr>
              <w:t>through</w:t>
            </w:r>
            <w:proofErr w:type="spellEnd"/>
            <w:r>
              <w:rPr>
                <w:color w:val="262626"/>
                <w:lang w:val="pt-BR"/>
              </w:rPr>
              <w:t xml:space="preserve"> training, workshops, </w:t>
            </w:r>
            <w:proofErr w:type="spellStart"/>
            <w:r>
              <w:rPr>
                <w:color w:val="262626"/>
                <w:lang w:val="pt-BR"/>
              </w:rPr>
              <w:t>and</w:t>
            </w:r>
            <w:proofErr w:type="spellEnd"/>
            <w:r>
              <w:rPr>
                <w:color w:val="262626"/>
                <w:lang w:val="pt-BR"/>
              </w:rPr>
              <w:t xml:space="preserve"> </w:t>
            </w:r>
            <w:proofErr w:type="spellStart"/>
            <w:r>
              <w:rPr>
                <w:color w:val="262626"/>
                <w:lang w:val="pt-BR"/>
              </w:rPr>
              <w:t>assistance</w:t>
            </w:r>
            <w:proofErr w:type="spellEnd"/>
            <w:r>
              <w:rPr>
                <w:color w:val="262626"/>
                <w:lang w:val="pt-BR"/>
              </w:rPr>
              <w:t xml:space="preserve"> </w:t>
            </w:r>
            <w:proofErr w:type="spellStart"/>
            <w:r>
              <w:rPr>
                <w:color w:val="262626"/>
                <w:lang w:val="pt-BR"/>
              </w:rPr>
              <w:t>with</w:t>
            </w:r>
            <w:proofErr w:type="spellEnd"/>
            <w:r>
              <w:rPr>
                <w:color w:val="262626"/>
                <w:lang w:val="pt-BR"/>
              </w:rPr>
              <w:t xml:space="preserve"> communication </w:t>
            </w:r>
            <w:proofErr w:type="spellStart"/>
            <w:r>
              <w:rPr>
                <w:color w:val="262626"/>
                <w:lang w:val="pt-BR"/>
              </w:rPr>
              <w:t>products</w:t>
            </w:r>
            <w:proofErr w:type="spellEnd"/>
            <w:r>
              <w:rPr>
                <w:color w:val="262626"/>
                <w:lang w:val="pt-BR"/>
              </w:rPr>
              <w:t>.</w:t>
            </w:r>
          </w:p>
          <w:p w:rsidR="00ED375C" w:rsidRDefault="00ED375C" w:rsidP="00C82B37">
            <w:pPr>
              <w:pStyle w:val="ListParagraph"/>
              <w:numPr>
                <w:ilvl w:val="0"/>
                <w:numId w:val="1"/>
              </w:numPr>
              <w:spacing w:line="276" w:lineRule="auto"/>
            </w:pPr>
            <w:proofErr w:type="spellStart"/>
            <w:r>
              <w:rPr>
                <w:color w:val="262626"/>
                <w:lang w:val="pt-BR"/>
              </w:rPr>
              <w:t>Engage</w:t>
            </w:r>
            <w:proofErr w:type="spellEnd"/>
            <w:r>
              <w:rPr>
                <w:color w:val="262626"/>
                <w:lang w:val="pt-BR"/>
              </w:rPr>
              <w:t xml:space="preserve"> </w:t>
            </w:r>
            <w:proofErr w:type="spellStart"/>
            <w:r>
              <w:rPr>
                <w:color w:val="262626"/>
                <w:lang w:val="pt-BR"/>
              </w:rPr>
              <w:t>community</w:t>
            </w:r>
            <w:proofErr w:type="spellEnd"/>
            <w:r>
              <w:rPr>
                <w:color w:val="262626"/>
                <w:lang w:val="pt-BR"/>
              </w:rPr>
              <w:t xml:space="preserve"> </w:t>
            </w:r>
            <w:proofErr w:type="spellStart"/>
            <w:r>
              <w:rPr>
                <w:color w:val="262626"/>
                <w:lang w:val="pt-BR"/>
              </w:rPr>
              <w:t>organizations</w:t>
            </w:r>
            <w:proofErr w:type="spellEnd"/>
            <w:r>
              <w:rPr>
                <w:color w:val="262626"/>
                <w:lang w:val="pt-BR"/>
              </w:rPr>
              <w:t xml:space="preserve"> </w:t>
            </w:r>
            <w:proofErr w:type="spellStart"/>
            <w:r>
              <w:rPr>
                <w:color w:val="262626"/>
                <w:lang w:val="pt-BR"/>
              </w:rPr>
              <w:t>and</w:t>
            </w:r>
            <w:proofErr w:type="spellEnd"/>
            <w:r>
              <w:rPr>
                <w:color w:val="262626"/>
                <w:lang w:val="pt-BR"/>
              </w:rPr>
              <w:t xml:space="preserve"> </w:t>
            </w:r>
            <w:proofErr w:type="spellStart"/>
            <w:r>
              <w:rPr>
                <w:color w:val="262626"/>
                <w:lang w:val="pt-BR"/>
              </w:rPr>
              <w:t>constituencies</w:t>
            </w:r>
            <w:proofErr w:type="spellEnd"/>
            <w:r>
              <w:rPr>
                <w:color w:val="262626"/>
                <w:lang w:val="pt-BR"/>
              </w:rPr>
              <w:t xml:space="preserve"> new </w:t>
            </w:r>
            <w:proofErr w:type="spellStart"/>
            <w:r>
              <w:rPr>
                <w:color w:val="262626"/>
                <w:lang w:val="pt-BR"/>
              </w:rPr>
              <w:t>to</w:t>
            </w:r>
            <w:proofErr w:type="spellEnd"/>
            <w:r>
              <w:rPr>
                <w:color w:val="262626"/>
                <w:lang w:val="pt-BR"/>
              </w:rPr>
              <w:t xml:space="preserve"> </w:t>
            </w:r>
            <w:proofErr w:type="spellStart"/>
            <w:r>
              <w:rPr>
                <w:color w:val="262626"/>
                <w:lang w:val="pt-BR"/>
              </w:rPr>
              <w:t>the</w:t>
            </w:r>
            <w:proofErr w:type="spellEnd"/>
            <w:r>
              <w:rPr>
                <w:color w:val="262626"/>
                <w:lang w:val="pt-BR"/>
              </w:rPr>
              <w:t xml:space="preserve"> </w:t>
            </w:r>
            <w:proofErr w:type="spellStart"/>
            <w:r>
              <w:rPr>
                <w:color w:val="262626"/>
                <w:lang w:val="pt-BR"/>
              </w:rPr>
              <w:t>migration</w:t>
            </w:r>
            <w:proofErr w:type="spellEnd"/>
            <w:r>
              <w:rPr>
                <w:color w:val="262626"/>
                <w:lang w:val="pt-BR"/>
              </w:rPr>
              <w:t xml:space="preserve"> </w:t>
            </w:r>
            <w:proofErr w:type="spellStart"/>
            <w:r>
              <w:rPr>
                <w:color w:val="262626"/>
                <w:lang w:val="pt-BR"/>
              </w:rPr>
              <w:t>scene</w:t>
            </w:r>
            <w:proofErr w:type="spellEnd"/>
            <w:r>
              <w:rPr>
                <w:color w:val="262626"/>
                <w:lang w:val="pt-BR"/>
              </w:rPr>
              <w:t xml:space="preserve">  </w:t>
            </w:r>
            <w:proofErr w:type="spellStart"/>
            <w:r>
              <w:rPr>
                <w:color w:val="262626"/>
                <w:lang w:val="pt-BR"/>
              </w:rPr>
              <w:t>such</w:t>
            </w:r>
            <w:proofErr w:type="spellEnd"/>
            <w:r>
              <w:rPr>
                <w:color w:val="262626"/>
                <w:lang w:val="pt-BR"/>
              </w:rPr>
              <w:t xml:space="preserve"> </w:t>
            </w:r>
            <w:proofErr w:type="gramStart"/>
            <w:r>
              <w:rPr>
                <w:color w:val="262626"/>
                <w:lang w:val="pt-BR"/>
              </w:rPr>
              <w:t>as business</w:t>
            </w:r>
            <w:proofErr w:type="gramEnd"/>
            <w:r>
              <w:rPr>
                <w:color w:val="262626"/>
                <w:lang w:val="pt-BR"/>
              </w:rPr>
              <w:t xml:space="preserve">, labor </w:t>
            </w:r>
            <w:proofErr w:type="spellStart"/>
            <w:r>
              <w:rPr>
                <w:color w:val="262626"/>
                <w:lang w:val="pt-BR"/>
              </w:rPr>
              <w:t>unions</w:t>
            </w:r>
            <w:proofErr w:type="spellEnd"/>
            <w:r>
              <w:rPr>
                <w:color w:val="262626"/>
                <w:lang w:val="pt-BR"/>
              </w:rPr>
              <w:t xml:space="preserve">, </w:t>
            </w:r>
            <w:proofErr w:type="spellStart"/>
            <w:r>
              <w:rPr>
                <w:color w:val="262626"/>
                <w:lang w:val="pt-BR"/>
              </w:rPr>
              <w:t>faith</w:t>
            </w:r>
            <w:proofErr w:type="spellEnd"/>
            <w:r>
              <w:rPr>
                <w:color w:val="262626"/>
                <w:lang w:val="pt-BR"/>
              </w:rPr>
              <w:t xml:space="preserve"> </w:t>
            </w:r>
            <w:proofErr w:type="spellStart"/>
            <w:r>
              <w:rPr>
                <w:color w:val="262626"/>
                <w:lang w:val="pt-BR"/>
              </w:rPr>
              <w:t>groups</w:t>
            </w:r>
            <w:proofErr w:type="spellEnd"/>
            <w:r>
              <w:rPr>
                <w:color w:val="262626"/>
                <w:lang w:val="pt-BR"/>
              </w:rPr>
              <w:t xml:space="preserve"> etc. </w:t>
            </w:r>
            <w:proofErr w:type="spellStart"/>
            <w:r>
              <w:rPr>
                <w:color w:val="262626"/>
                <w:lang w:val="pt-BR"/>
              </w:rPr>
              <w:t>through</w:t>
            </w:r>
            <w:proofErr w:type="spellEnd"/>
            <w:r>
              <w:rPr>
                <w:color w:val="262626"/>
                <w:lang w:val="pt-BR"/>
              </w:rPr>
              <w:t xml:space="preserve"> </w:t>
            </w:r>
            <w:proofErr w:type="spellStart"/>
            <w:r>
              <w:rPr>
                <w:color w:val="262626"/>
                <w:lang w:val="pt-BR"/>
              </w:rPr>
              <w:t>targeted</w:t>
            </w:r>
            <w:proofErr w:type="spellEnd"/>
            <w:r>
              <w:rPr>
                <w:color w:val="262626"/>
                <w:lang w:val="pt-BR"/>
              </w:rPr>
              <w:t xml:space="preserve"> media </w:t>
            </w:r>
            <w:proofErr w:type="spellStart"/>
            <w:r>
              <w:rPr>
                <w:color w:val="262626"/>
                <w:lang w:val="pt-BR"/>
              </w:rPr>
              <w:t>campaigns</w:t>
            </w:r>
            <w:proofErr w:type="spellEnd"/>
            <w:r>
              <w:rPr>
                <w:color w:val="262626"/>
                <w:lang w:val="pt-BR"/>
              </w:rPr>
              <w:t xml:space="preserve"> </w:t>
            </w:r>
            <w:proofErr w:type="spellStart"/>
            <w:r>
              <w:rPr>
                <w:color w:val="262626"/>
                <w:lang w:val="pt-BR"/>
              </w:rPr>
              <w:t>and</w:t>
            </w:r>
            <w:proofErr w:type="spellEnd"/>
            <w:r>
              <w:rPr>
                <w:color w:val="262626"/>
                <w:lang w:val="pt-BR"/>
              </w:rPr>
              <w:t xml:space="preserve"> online </w:t>
            </w:r>
            <w:proofErr w:type="spellStart"/>
            <w:r>
              <w:rPr>
                <w:color w:val="262626"/>
                <w:lang w:val="pt-BR"/>
              </w:rPr>
              <w:t>mobilization</w:t>
            </w:r>
            <w:proofErr w:type="spellEnd"/>
            <w:r>
              <w:rPr>
                <w:color w:val="262626"/>
                <w:lang w:val="pt-BR"/>
              </w:rPr>
              <w:t xml:space="preserve"> </w:t>
            </w:r>
            <w:proofErr w:type="spellStart"/>
            <w:r>
              <w:rPr>
                <w:color w:val="262626"/>
                <w:lang w:val="pt-BR"/>
              </w:rPr>
              <w:t>movement</w:t>
            </w:r>
            <w:proofErr w:type="spellEnd"/>
            <w:r>
              <w:rPr>
                <w:color w:val="262626"/>
                <w:lang w:val="pt-BR"/>
              </w:rPr>
              <w:t xml:space="preserve"> </w:t>
            </w:r>
            <w:proofErr w:type="spellStart"/>
            <w:r>
              <w:rPr>
                <w:color w:val="262626"/>
                <w:lang w:val="pt-BR"/>
              </w:rPr>
              <w:lastRenderedPageBreak/>
              <w:t>building</w:t>
            </w:r>
            <w:proofErr w:type="spellEnd"/>
          </w:p>
          <w:p w:rsidR="00ED375C" w:rsidRDefault="00ED375C">
            <w:r>
              <w:rPr>
                <w:color w:val="262626"/>
              </w:rPr>
              <w:t xml:space="preserve">The Lab will engage at national level in Germany, UK, France, Poland and Italy with potential engagement in Sweden/Spain/Czech Republic/Greece with prospects of opening to global scale (US and Canada). </w:t>
            </w:r>
          </w:p>
          <w:p w:rsidR="00ED375C" w:rsidRDefault="00ED375C">
            <w:r>
              <w:rPr>
                <w:color w:val="262626"/>
              </w:rPr>
              <w:t> </w:t>
            </w:r>
          </w:p>
          <w:p w:rsidR="00ED375C" w:rsidRDefault="00ED375C">
            <w:pPr>
              <w:autoSpaceDE w:val="0"/>
              <w:autoSpaceDN w:val="0"/>
            </w:pPr>
            <w:r>
              <w:rPr>
                <w:color w:val="262626"/>
              </w:rPr>
              <w:t xml:space="preserve">2. </w:t>
            </w:r>
            <w:r>
              <w:rPr>
                <w:b/>
                <w:bCs/>
                <w:color w:val="262626"/>
                <w:u w:val="single"/>
              </w:rPr>
              <w:t>Support to</w:t>
            </w:r>
            <w:r>
              <w:rPr>
                <w:color w:val="262626"/>
              </w:rPr>
              <w:t xml:space="preserve"> </w:t>
            </w:r>
            <w:r>
              <w:rPr>
                <w:b/>
                <w:bCs/>
                <w:color w:val="262626"/>
                <w:u w:val="single"/>
              </w:rPr>
              <w:t>“The Middle England” project of HOPE not hate</w:t>
            </w:r>
            <w:r>
              <w:rPr>
                <w:color w:val="262626"/>
              </w:rPr>
              <w:t xml:space="preserve">, focusing on community organizing &amp; grassroots actions to build middle ground community resilience against extremism in the UK. </w:t>
            </w:r>
            <w:r>
              <w:t xml:space="preserve">Hope not Hate is a well-known research based campaign organization in the UK. They have conducted numerous successful campaigns in the last decade which contributed to the defeat of far right parties in several election campaigns and tackled different forms of xenophobia. Given the recent rise of anti-immigrant feeling towards migrant and refugee groups in the UK (and elsewhere in Europe), </w:t>
            </w:r>
            <w:proofErr w:type="spellStart"/>
            <w:r>
              <w:t>HnH</w:t>
            </w:r>
            <w:proofErr w:type="spellEnd"/>
            <w:r>
              <w:t xml:space="preserve"> has become more and more active on challenging the toxic narratives. </w:t>
            </w:r>
          </w:p>
          <w:p w:rsidR="00ED375C" w:rsidRDefault="00ED375C">
            <w:pPr>
              <w:autoSpaceDE w:val="0"/>
              <w:autoSpaceDN w:val="0"/>
            </w:pPr>
            <w:r>
              <w:t> </w:t>
            </w:r>
          </w:p>
          <w:p w:rsidR="00ED375C" w:rsidRDefault="00ED375C">
            <w:pPr>
              <w:autoSpaceDE w:val="0"/>
              <w:autoSpaceDN w:val="0"/>
            </w:pPr>
            <w:r>
              <w:t xml:space="preserve">3. </w:t>
            </w:r>
            <w:r>
              <w:rPr>
                <w:b/>
                <w:bCs/>
                <w:u w:val="single"/>
              </w:rPr>
              <w:t xml:space="preserve">Seed funding to </w:t>
            </w:r>
            <w:proofErr w:type="spellStart"/>
            <w:r>
              <w:rPr>
                <w:b/>
                <w:bCs/>
                <w:u w:val="single"/>
              </w:rPr>
              <w:t>Offene</w:t>
            </w:r>
            <w:proofErr w:type="spellEnd"/>
            <w:r>
              <w:rPr>
                <w:b/>
                <w:bCs/>
                <w:u w:val="single"/>
              </w:rPr>
              <w:t xml:space="preserve"> </w:t>
            </w:r>
            <w:proofErr w:type="spellStart"/>
            <w:r>
              <w:rPr>
                <w:b/>
                <w:bCs/>
                <w:u w:val="single"/>
              </w:rPr>
              <w:t>Gesellschaft</w:t>
            </w:r>
            <w:proofErr w:type="spellEnd"/>
            <w:r>
              <w:rPr>
                <w:b/>
                <w:bCs/>
                <w:u w:val="single"/>
              </w:rPr>
              <w:t xml:space="preserve"> initiative</w:t>
            </w:r>
            <w:r>
              <w:t xml:space="preserve">, a strategy and campaign platform, promoting open society in Germany through intelligent political campaigning, founded by Harald </w:t>
            </w:r>
            <w:proofErr w:type="spellStart"/>
            <w:r>
              <w:t>Welzer</w:t>
            </w:r>
            <w:proofErr w:type="spellEnd"/>
            <w:r>
              <w:t>, a leading German sociologist and think tanker (</w:t>
            </w:r>
            <w:proofErr w:type="spellStart"/>
            <w:r>
              <w:t>Stiftung</w:t>
            </w:r>
            <w:proofErr w:type="spellEnd"/>
            <w:r>
              <w:t xml:space="preserve"> </w:t>
            </w:r>
            <w:proofErr w:type="spellStart"/>
            <w:r>
              <w:t>Futurzwei</w:t>
            </w:r>
            <w:proofErr w:type="spellEnd"/>
            <w:r>
              <w:t xml:space="preserve">), Alexander </w:t>
            </w:r>
            <w:proofErr w:type="spellStart"/>
            <w:r>
              <w:t>Carius</w:t>
            </w:r>
            <w:proofErr w:type="spellEnd"/>
            <w:r>
              <w:t xml:space="preserve">, founder and head of the think tank </w:t>
            </w:r>
            <w:proofErr w:type="spellStart"/>
            <w:r>
              <w:t>adelphi</w:t>
            </w:r>
            <w:proofErr w:type="spellEnd"/>
            <w:r>
              <w:t xml:space="preserve">, Stefan Wegner, partner and managing director of communications agency </w:t>
            </w:r>
            <w:proofErr w:type="spellStart"/>
            <w:r>
              <w:t>Scholz</w:t>
            </w:r>
            <w:proofErr w:type="spellEnd"/>
            <w:r>
              <w:t xml:space="preserve"> &amp; Friends and Andre Wilkens, former director of the Open Society Institute Brussels, Mercator Centre in Berlin, and former UNHCR Head of Strategic Communications . OS was set up in December 2015 and initiated a series of debates on the future of Germany and Europe, justice, religion, security and, of course, the refugee and migrant inflows into Germany/Europe. The OSF grant will allow to put the Initiative on a more professional footing, and to establish it as an independent campaign platform for an open society. </w:t>
            </w:r>
          </w:p>
          <w:p w:rsidR="00ED375C" w:rsidRDefault="00ED375C">
            <w:pPr>
              <w:autoSpaceDE w:val="0"/>
              <w:autoSpaceDN w:val="0"/>
            </w:pPr>
            <w:r>
              <w:t> </w:t>
            </w:r>
          </w:p>
          <w:p w:rsidR="00ED375C" w:rsidRDefault="00ED375C">
            <w:pPr>
              <w:autoSpaceDE w:val="0"/>
              <w:autoSpaceDN w:val="0"/>
            </w:pPr>
            <w:r>
              <w:rPr>
                <w:b/>
                <w:bCs/>
                <w:u w:val="single"/>
              </w:rPr>
              <w:t xml:space="preserve">4. Unallocated funds: </w:t>
            </w:r>
          </w:p>
          <w:p w:rsidR="00ED375C" w:rsidRDefault="00ED375C">
            <w:pPr>
              <w:spacing w:before="60" w:after="60"/>
            </w:pPr>
            <w:r>
              <w:rPr>
                <w:color w:val="262626"/>
              </w:rPr>
              <w:t xml:space="preserve">Additional funds will be dedicated to emerging initiatives countering toxic narratives. Assessment criteria will include the existence of particular opportunity to induce change. </w:t>
            </w:r>
          </w:p>
          <w:p w:rsidR="00ED375C" w:rsidRDefault="00ED375C">
            <w:pPr>
              <w:pStyle w:val="ListParagraph"/>
              <w:spacing w:before="60" w:after="60" w:line="276" w:lineRule="auto"/>
            </w:pPr>
            <w:r>
              <w:rPr>
                <w:color w:val="262626"/>
                <w:sz w:val="20"/>
                <w:szCs w:val="20"/>
                <w:lang w:val="pt-BR"/>
              </w:rPr>
              <w:t> </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lastRenderedPageBreak/>
              <w:t>Summary for Board Reports (100 words)</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t xml:space="preserve">Migration in Europe has been an emerging priority for OSIFE with intensification in 2015. </w:t>
            </w:r>
            <w:r>
              <w:rPr>
                <w:color w:val="262626"/>
              </w:rPr>
              <w:t xml:space="preserve">However, the vast scale of the European refugee influx was unforeseen at the time the 2016 </w:t>
            </w:r>
            <w:proofErr w:type="spellStart"/>
            <w:r>
              <w:rPr>
                <w:color w:val="262626"/>
              </w:rPr>
              <w:t>workplan</w:t>
            </w:r>
            <w:proofErr w:type="spellEnd"/>
            <w:r>
              <w:rPr>
                <w:color w:val="262626"/>
              </w:rPr>
              <w:t xml:space="preserve"> was first drafted. With the majority of the 2016 OSIFE funds allocated to supporting grass-roots and bottom up organizations working on migrants’ rights, asylum, and border issues, the proposed reserve fund allocation will allow for additional resources to be allocated towards countering xenophobic attitudes in Europe, move parts of the political mainstream towards more pro-refugee positions, and build constituencies around a more progressive approach to migration and asylum. </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 xml:space="preserve">Collaborating Programs within OSF and essential </w:t>
            </w:r>
            <w:r>
              <w:rPr>
                <w:b/>
                <w:bCs/>
                <w:color w:val="262626"/>
              </w:rPr>
              <w:lastRenderedPageBreak/>
              <w:t>partners or grantees</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rPr>
                <w:b/>
                <w:bCs/>
                <w:color w:val="000000"/>
              </w:rPr>
              <w:lastRenderedPageBreak/>
              <w:t>OSF Programs:</w:t>
            </w:r>
            <w:r>
              <w:rPr>
                <w:color w:val="000000"/>
              </w:rPr>
              <w:t xml:space="preserve"> International Migration Initiative (IMI), OSEPI, Governance and Debate unit of OSIFE</w:t>
            </w:r>
          </w:p>
          <w:p w:rsidR="00ED375C" w:rsidRDefault="00ED375C">
            <w:pPr>
              <w:spacing w:before="60" w:after="60"/>
            </w:pPr>
            <w:r>
              <w:rPr>
                <w:b/>
                <w:bCs/>
                <w:color w:val="000000"/>
              </w:rPr>
              <w:t>External partners/grantees:</w:t>
            </w:r>
            <w:r>
              <w:rPr>
                <w:color w:val="000000"/>
              </w:rPr>
              <w:t xml:space="preserve"> </w:t>
            </w:r>
            <w:r>
              <w:t xml:space="preserve">Hope not Hate, Purpose, </w:t>
            </w:r>
            <w:proofErr w:type="spellStart"/>
            <w:r>
              <w:t>Offene</w:t>
            </w:r>
            <w:proofErr w:type="spellEnd"/>
            <w:r>
              <w:t xml:space="preserve"> </w:t>
            </w:r>
            <w:proofErr w:type="spellStart"/>
            <w:r>
              <w:t>Gesellschaft</w:t>
            </w:r>
            <w:proofErr w:type="spellEnd"/>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lastRenderedPageBreak/>
              <w:t>Contributions expected from Collaborating Programs (250 words)</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60" w:after="60"/>
            </w:pPr>
            <w:r>
              <w:rPr>
                <w:color w:val="000000"/>
              </w:rPr>
              <w:t>The work will be lead though active collaboration between major partners and OSF. OSF programs will provide staff time and expertise as follows:</w:t>
            </w:r>
          </w:p>
          <w:p w:rsidR="00ED375C" w:rsidRDefault="00ED375C" w:rsidP="00C82B37">
            <w:pPr>
              <w:pStyle w:val="ListParagraph"/>
              <w:numPr>
                <w:ilvl w:val="0"/>
                <w:numId w:val="2"/>
              </w:numPr>
              <w:spacing w:before="60" w:after="60" w:line="276" w:lineRule="auto"/>
              <w:ind w:left="249" w:hanging="249"/>
            </w:pPr>
            <w:r>
              <w:rPr>
                <w:color w:val="000000"/>
              </w:rPr>
              <w:t xml:space="preserve">OSIFE Migration &amp; Inclusion Unit will manage the grants to Purpose and Hope not Hate </w:t>
            </w:r>
          </w:p>
          <w:p w:rsidR="00ED375C" w:rsidRDefault="00ED375C" w:rsidP="00C82B37">
            <w:pPr>
              <w:pStyle w:val="ListParagraph"/>
              <w:numPr>
                <w:ilvl w:val="0"/>
                <w:numId w:val="2"/>
              </w:numPr>
              <w:spacing w:before="60" w:after="60" w:line="276" w:lineRule="auto"/>
              <w:ind w:left="249" w:hanging="249"/>
            </w:pPr>
            <w:r>
              <w:rPr>
                <w:color w:val="000000"/>
              </w:rPr>
              <w:t xml:space="preserve">Governance and Debate unit of OSIFE will manage the grant to </w:t>
            </w:r>
            <w:proofErr w:type="spellStart"/>
            <w:r>
              <w:rPr>
                <w:color w:val="000000"/>
              </w:rPr>
              <w:t>Offene</w:t>
            </w:r>
            <w:proofErr w:type="spellEnd"/>
            <w:r>
              <w:rPr>
                <w:color w:val="000000"/>
              </w:rPr>
              <w:t xml:space="preserve"> </w:t>
            </w:r>
            <w:proofErr w:type="spellStart"/>
            <w:r>
              <w:rPr>
                <w:color w:val="000000"/>
              </w:rPr>
              <w:t>Gesellschaft</w:t>
            </w:r>
            <w:proofErr w:type="spellEnd"/>
            <w:r>
              <w:rPr>
                <w:color w:val="000000"/>
              </w:rPr>
              <w:t xml:space="preserve"> </w:t>
            </w:r>
          </w:p>
          <w:p w:rsidR="00ED375C" w:rsidRDefault="00ED375C" w:rsidP="00C82B37">
            <w:pPr>
              <w:pStyle w:val="ListParagraph"/>
              <w:numPr>
                <w:ilvl w:val="0"/>
                <w:numId w:val="2"/>
              </w:numPr>
              <w:spacing w:before="60" w:after="60" w:line="276" w:lineRule="auto"/>
              <w:ind w:left="249" w:hanging="249"/>
            </w:pPr>
            <w:r>
              <w:rPr>
                <w:color w:val="000000"/>
              </w:rPr>
              <w:t xml:space="preserve">IMI/OSEPI will provide relevant expertise as appropriate and upon request </w:t>
            </w:r>
          </w:p>
          <w:p w:rsidR="00ED375C" w:rsidRDefault="00ED375C" w:rsidP="00C82B37">
            <w:pPr>
              <w:pStyle w:val="ListParagraph"/>
              <w:numPr>
                <w:ilvl w:val="0"/>
                <w:numId w:val="2"/>
              </w:numPr>
              <w:spacing w:before="60" w:after="60" w:line="276" w:lineRule="auto"/>
              <w:ind w:left="249" w:hanging="249"/>
            </w:pPr>
            <w:r>
              <w:rPr>
                <w:color w:val="000000"/>
              </w:rPr>
              <w:t>The Communications Office will be consulted on the media outreach work</w:t>
            </w:r>
          </w:p>
        </w:tc>
      </w:tr>
      <w:tr w:rsidR="00ED375C" w:rsidTr="00ED375C">
        <w:trPr>
          <w:trHeight w:val="20"/>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b/>
                <w:bCs/>
                <w:color w:val="262626"/>
              </w:rPr>
              <w:t>Statement of who within OSF would guide the work</w:t>
            </w:r>
          </w:p>
        </w:tc>
        <w:tc>
          <w:tcPr>
            <w:tcW w:w="7398"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pPr>
            <w:r>
              <w:rPr>
                <w:color w:val="000000"/>
              </w:rPr>
              <w:t xml:space="preserve">OSIFE Migration and Inclusion Unit will coordinate the overall work on anti-migrant narratives. </w:t>
            </w:r>
          </w:p>
        </w:tc>
      </w:tr>
    </w:tbl>
    <w:p w:rsidR="00ED375C" w:rsidRDefault="00ED375C" w:rsidP="00ED375C">
      <w:r>
        <w:t> </w:t>
      </w:r>
    </w:p>
    <w:tbl>
      <w:tblPr>
        <w:tblW w:w="9576" w:type="dxa"/>
        <w:tblCellMar>
          <w:left w:w="0" w:type="dxa"/>
          <w:right w:w="0" w:type="dxa"/>
        </w:tblCellMar>
        <w:tblLook w:val="04A0" w:firstRow="1" w:lastRow="0" w:firstColumn="1" w:lastColumn="0" w:noHBand="0" w:noVBand="1"/>
      </w:tblPr>
      <w:tblGrid>
        <w:gridCol w:w="2273"/>
        <w:gridCol w:w="1985"/>
        <w:gridCol w:w="1783"/>
        <w:gridCol w:w="3535"/>
      </w:tblGrid>
      <w:tr w:rsidR="00ED375C" w:rsidTr="00ED375C">
        <w:trPr>
          <w:trHeight w:val="229"/>
        </w:trPr>
        <w:tc>
          <w:tcPr>
            <w:tcW w:w="2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rPr>
                <w:b/>
                <w:bCs/>
                <w:color w:val="262626"/>
              </w:rPr>
            </w:pPr>
            <w:r>
              <w:rPr>
                <w:b/>
                <w:bCs/>
                <w:color w:val="262626"/>
              </w:rPr>
              <w:t>Allocator</w:t>
            </w:r>
          </w:p>
          <w:p w:rsidR="00ED375C" w:rsidRDefault="00ED375C">
            <w:pPr>
              <w:spacing w:before="120" w:after="120"/>
              <w:rPr>
                <w:i/>
                <w:iCs/>
                <w:color w:val="262626"/>
                <w:sz w:val="16"/>
                <w:szCs w:val="16"/>
              </w:rPr>
            </w:pPr>
            <w:r>
              <w:rPr>
                <w:i/>
                <w:iCs/>
                <w:color w:val="262626"/>
                <w:sz w:val="16"/>
                <w:szCs w:val="16"/>
              </w:rPr>
              <w:t xml:space="preserve">(See list on </w:t>
            </w:r>
            <w:hyperlink r:id="rId6" w:history="1">
              <w:r>
                <w:rPr>
                  <w:rStyle w:val="Hyperlink"/>
                  <w:i/>
                  <w:iCs/>
                  <w:sz w:val="16"/>
                  <w:szCs w:val="16"/>
                </w:rPr>
                <w:t>Reserve Funds KARL</w:t>
              </w:r>
            </w:hyperlink>
            <w:r>
              <w:rPr>
                <w:i/>
                <w:iCs/>
                <w:color w:val="262626"/>
                <w:sz w:val="16"/>
                <w:szCs w:val="16"/>
              </w:rPr>
              <w:t>)</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rPr>
                <w:color w:val="262626"/>
                <w:sz w:val="20"/>
                <w:szCs w:val="20"/>
              </w:rPr>
            </w:pPr>
            <w:r>
              <w:rPr>
                <w:color w:val="262626"/>
                <w:sz w:val="20"/>
                <w:szCs w:val="20"/>
              </w:rPr>
              <w:t>Name</w:t>
            </w:r>
          </w:p>
        </w:tc>
        <w:tc>
          <w:tcPr>
            <w:tcW w:w="5623" w:type="dxa"/>
            <w:gridSpan w:val="2"/>
            <w:tcBorders>
              <w:top w:val="single" w:sz="8" w:space="0" w:color="auto"/>
              <w:left w:val="nil"/>
              <w:bottom w:val="single" w:sz="8" w:space="0" w:color="auto"/>
              <w:right w:val="single" w:sz="8" w:space="0" w:color="auto"/>
            </w:tcBorders>
            <w:hideMark/>
          </w:tcPr>
          <w:p w:rsidR="00ED375C" w:rsidRDefault="00ED375C">
            <w:pPr>
              <w:spacing w:before="120" w:after="120"/>
              <w:rPr>
                <w:color w:val="262626"/>
                <w:sz w:val="20"/>
                <w:szCs w:val="20"/>
              </w:rPr>
            </w:pPr>
            <w:r>
              <w:rPr>
                <w:color w:val="262626"/>
                <w:sz w:val="20"/>
                <w:szCs w:val="20"/>
              </w:rPr>
              <w:t>Jordi Vaquer</w:t>
            </w:r>
          </w:p>
        </w:tc>
      </w:tr>
      <w:tr w:rsidR="00ED375C" w:rsidTr="00ED375C">
        <w:trPr>
          <w:trHeight w:val="2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ED375C" w:rsidRDefault="00ED375C">
            <w:pPr>
              <w:rPr>
                <w:i/>
                <w:iCs/>
                <w:color w:val="262626"/>
                <w:sz w:val="16"/>
                <w:szCs w:val="16"/>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rPr>
                <w:color w:val="262626"/>
                <w:sz w:val="20"/>
                <w:szCs w:val="20"/>
              </w:rPr>
            </w:pPr>
            <w:r>
              <w:rPr>
                <w:color w:val="262626"/>
                <w:sz w:val="20"/>
                <w:szCs w:val="20"/>
              </w:rPr>
              <w:t>Date Approved</w:t>
            </w:r>
          </w:p>
        </w:tc>
        <w:tc>
          <w:tcPr>
            <w:tcW w:w="5623" w:type="dxa"/>
            <w:gridSpan w:val="2"/>
            <w:tcBorders>
              <w:top w:val="nil"/>
              <w:left w:val="nil"/>
              <w:bottom w:val="single" w:sz="8" w:space="0" w:color="auto"/>
              <w:right w:val="single" w:sz="8" w:space="0" w:color="auto"/>
            </w:tcBorders>
            <w:hideMark/>
          </w:tcPr>
          <w:p w:rsidR="00ED375C" w:rsidRDefault="00ED375C">
            <w:pPr>
              <w:spacing w:before="120" w:after="120"/>
              <w:rPr>
                <w:color w:val="262626"/>
                <w:sz w:val="20"/>
                <w:szCs w:val="20"/>
              </w:rPr>
            </w:pPr>
            <w:r>
              <w:rPr>
                <w:color w:val="262626"/>
                <w:sz w:val="20"/>
                <w:szCs w:val="20"/>
              </w:rPr>
              <w:t>8 March 2016</w:t>
            </w:r>
          </w:p>
        </w:tc>
      </w:tr>
      <w:tr w:rsidR="00ED375C" w:rsidTr="00ED375C">
        <w:trPr>
          <w:trHeight w:val="556"/>
        </w:trPr>
        <w:tc>
          <w:tcPr>
            <w:tcW w:w="2178"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ED375C" w:rsidRDefault="00ED375C">
            <w:pPr>
              <w:spacing w:before="120" w:after="120"/>
              <w:rPr>
                <w:b/>
                <w:bCs/>
                <w:color w:val="262626"/>
              </w:rPr>
            </w:pPr>
            <w:r>
              <w:rPr>
                <w:b/>
                <w:bCs/>
                <w:color w:val="262626"/>
              </w:rPr>
              <w:t>Allocator Notes / Comments</w:t>
            </w:r>
          </w:p>
          <w:p w:rsidR="00ED375C" w:rsidRDefault="00ED375C">
            <w:pPr>
              <w:spacing w:before="120" w:after="120"/>
              <w:rPr>
                <w:b/>
                <w:bCs/>
                <w:color w:val="262626"/>
              </w:rPr>
            </w:pPr>
            <w:r>
              <w:rPr>
                <w:i/>
                <w:iCs/>
                <w:color w:val="262626"/>
                <w:sz w:val="16"/>
                <w:szCs w:val="16"/>
              </w:rPr>
              <w:t xml:space="preserve">(To be completed by </w:t>
            </w:r>
            <w:r>
              <w:rPr>
                <w:i/>
                <w:iCs/>
                <w:color w:val="262626"/>
                <w:sz w:val="16"/>
                <w:szCs w:val="16"/>
                <w:u w:val="single"/>
              </w:rPr>
              <w:t>allocator only</w:t>
            </w:r>
            <w:r>
              <w:rPr>
                <w:i/>
                <w:iCs/>
                <w:color w:val="262626"/>
                <w:sz w:val="16"/>
                <w:szCs w:val="16"/>
              </w:rPr>
              <w:t>)</w:t>
            </w:r>
          </w:p>
        </w:tc>
        <w:tc>
          <w:tcPr>
            <w:tcW w:w="7398"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ED375C" w:rsidRDefault="00ED375C">
            <w:pPr>
              <w:spacing w:before="120" w:after="120"/>
              <w:rPr>
                <w:i/>
                <w:iCs/>
                <w:color w:val="262626"/>
                <w:sz w:val="16"/>
                <w:szCs w:val="16"/>
              </w:rPr>
            </w:pPr>
            <w:r>
              <w:rPr>
                <w:i/>
                <w:iCs/>
                <w:color w:val="262626"/>
                <w:sz w:val="16"/>
                <w:szCs w:val="16"/>
              </w:rPr>
              <w:t>(Notes/Comments - Optional field)</w:t>
            </w:r>
          </w:p>
          <w:p w:rsidR="00ED375C" w:rsidRDefault="00ED375C">
            <w:pPr>
              <w:spacing w:before="120" w:after="120"/>
              <w:rPr>
                <w:color w:val="262626"/>
                <w:sz w:val="20"/>
                <w:szCs w:val="20"/>
              </w:rPr>
            </w:pPr>
            <w:r>
              <w:rPr>
                <w:i/>
                <w:iCs/>
                <w:color w:val="262626"/>
                <w:sz w:val="16"/>
                <w:szCs w:val="16"/>
              </w:rPr>
              <w:t>This is a timely topic and request. It covers at the same time a real need (to address the massive change in public sentiment in Europe around refugees and migrants) and a direct request from George Soros to support specific groups (and not to support other requests) in Britain and Germany. The unallocated part is slightly unorthodox, but it makes sense in a rapidly moving context where OSIFE is receiving proposals every week.</w:t>
            </w:r>
          </w:p>
        </w:tc>
      </w:tr>
      <w:tr w:rsidR="00ED375C" w:rsidTr="00ED375C">
        <w:trPr>
          <w:trHeight w:val="665"/>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7398"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ED375C" w:rsidRDefault="00ED375C">
            <w:pPr>
              <w:spacing w:before="60" w:after="60"/>
              <w:rPr>
                <w:i/>
                <w:iCs/>
                <w:sz w:val="16"/>
                <w:szCs w:val="16"/>
              </w:rPr>
            </w:pPr>
            <w:r>
              <w:rPr>
                <w:i/>
                <w:iCs/>
                <w:sz w:val="16"/>
                <w:szCs w:val="16"/>
              </w:rPr>
              <w:t>(Criteria checklist)</w:t>
            </w:r>
          </w:p>
          <w:p w:rsidR="00ED375C" w:rsidRDefault="00ED375C">
            <w:pPr>
              <w:spacing w:before="60" w:after="60"/>
              <w:rPr>
                <w:color w:val="262626"/>
                <w:sz w:val="20"/>
                <w:szCs w:val="20"/>
              </w:rPr>
            </w:pPr>
            <w:sdt>
              <w:sdtPr>
                <w:rPr>
                  <w:sz w:val="20"/>
                  <w:szCs w:val="20"/>
                </w:rPr>
                <w:id w:val="1273205180"/>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Is this an </w:t>
            </w:r>
            <w:r>
              <w:rPr>
                <w:color w:val="262626"/>
                <w:sz w:val="20"/>
                <w:szCs w:val="20"/>
                <w:u w:val="single"/>
              </w:rPr>
              <w:t>unforeseen</w:t>
            </w:r>
            <w:r>
              <w:rPr>
                <w:color w:val="262626"/>
                <w:sz w:val="20"/>
                <w:szCs w:val="20"/>
              </w:rPr>
              <w:t xml:space="preserve"> opportunity or a genuinely new idea to advance core open society commitments?</w:t>
            </w:r>
          </w:p>
          <w:p w:rsidR="00ED375C" w:rsidRDefault="00ED375C">
            <w:pPr>
              <w:spacing w:before="60" w:after="60"/>
              <w:rPr>
                <w:color w:val="262626"/>
                <w:sz w:val="20"/>
                <w:szCs w:val="20"/>
              </w:rPr>
            </w:pPr>
            <w:sdt>
              <w:sdtPr>
                <w:rPr>
                  <w:sz w:val="20"/>
                  <w:szCs w:val="20"/>
                </w:rPr>
                <w:id w:val="1128120576"/>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Is the need time-sensitive?  </w:t>
            </w:r>
          </w:p>
          <w:p w:rsidR="00ED375C" w:rsidRDefault="00ED375C">
            <w:pPr>
              <w:spacing w:before="60" w:after="60"/>
              <w:rPr>
                <w:color w:val="262626"/>
                <w:sz w:val="20"/>
                <w:szCs w:val="20"/>
              </w:rPr>
            </w:pPr>
            <w:sdt>
              <w:sdtPr>
                <w:rPr>
                  <w:sz w:val="20"/>
                  <w:szCs w:val="20"/>
                </w:rPr>
                <w:id w:val="-2042427662"/>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Are we proposing to do something that others are not doing?  </w:t>
            </w:r>
          </w:p>
          <w:p w:rsidR="00ED375C" w:rsidRDefault="00ED375C">
            <w:pPr>
              <w:spacing w:before="60" w:after="60"/>
              <w:rPr>
                <w:color w:val="262626"/>
                <w:sz w:val="20"/>
                <w:szCs w:val="20"/>
              </w:rPr>
            </w:pPr>
            <w:sdt>
              <w:sdtPr>
                <w:rPr>
                  <w:sz w:val="20"/>
                  <w:szCs w:val="20"/>
                </w:rPr>
                <w:id w:val="-985391662"/>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Is the plan compelling?  </w:t>
            </w:r>
          </w:p>
          <w:p w:rsidR="00ED375C" w:rsidRDefault="00ED375C">
            <w:pPr>
              <w:spacing w:before="60" w:after="60"/>
              <w:rPr>
                <w:color w:val="262626"/>
                <w:sz w:val="20"/>
                <w:szCs w:val="20"/>
              </w:rPr>
            </w:pPr>
            <w:sdt>
              <w:sdtPr>
                <w:rPr>
                  <w:sz w:val="20"/>
                  <w:szCs w:val="20"/>
                </w:rPr>
                <w:id w:val="1419915727"/>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Does the planned activity take good advantage of OSF capacity?  </w:t>
            </w:r>
          </w:p>
          <w:p w:rsidR="00ED375C" w:rsidRDefault="00ED375C">
            <w:pPr>
              <w:spacing w:before="60" w:after="60"/>
              <w:rPr>
                <w:sz w:val="20"/>
                <w:szCs w:val="20"/>
              </w:rPr>
            </w:pPr>
            <w:sdt>
              <w:sdtPr>
                <w:rPr>
                  <w:sz w:val="20"/>
                  <w:szCs w:val="20"/>
                </w:rPr>
                <w:id w:val="285173104"/>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color w:val="262626"/>
                <w:sz w:val="20"/>
                <w:szCs w:val="20"/>
              </w:rPr>
              <w:t xml:space="preserve"> Is the team leading the work up to the task?</w:t>
            </w:r>
            <w:r>
              <w:rPr>
                <w:sz w:val="20"/>
                <w:szCs w:val="20"/>
              </w:rPr>
              <w:t xml:space="preserve">  </w:t>
            </w:r>
          </w:p>
        </w:tc>
      </w:tr>
      <w:tr w:rsidR="00ED375C" w:rsidTr="00ED375C">
        <w:trPr>
          <w:trHeight w:val="511"/>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rPr>
                <w:b/>
                <w:bCs/>
                <w:color w:val="262626"/>
              </w:rPr>
            </w:pPr>
            <w:r>
              <w:rPr>
                <w:b/>
                <w:bCs/>
                <w:color w:val="262626"/>
              </w:rPr>
              <w:t>Urgency level for grant approval &amp; payments</w:t>
            </w: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D375C" w:rsidRDefault="00ED375C">
            <w:pPr>
              <w:pStyle w:val="ColorfulList-Accent11"/>
              <w:spacing w:before="120" w:after="120" w:line="240" w:lineRule="auto"/>
              <w:ind w:left="0"/>
              <w:rPr>
                <w:sz w:val="20"/>
                <w:szCs w:val="20"/>
              </w:rPr>
            </w:pPr>
            <w:sdt>
              <w:sdtPr>
                <w:rPr>
                  <w:sz w:val="20"/>
                  <w:szCs w:val="20"/>
                </w:rPr>
                <w:id w:val="-1431961457"/>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sz w:val="20"/>
                <w:szCs w:val="20"/>
              </w:rPr>
              <w:t xml:space="preserve"> </w:t>
            </w:r>
            <w:r>
              <w:rPr>
                <w:b/>
                <w:bCs/>
                <w:sz w:val="20"/>
                <w:szCs w:val="20"/>
                <w:u w:val="single"/>
              </w:rPr>
              <w:t>Not</w:t>
            </w:r>
            <w:r>
              <w:rPr>
                <w:sz w:val="20"/>
                <w:szCs w:val="20"/>
              </w:rPr>
              <w:t xml:space="preserve"> Rapid Response </w:t>
            </w:r>
          </w:p>
        </w:tc>
        <w:tc>
          <w:tcPr>
            <w:tcW w:w="3661" w:type="dxa"/>
            <w:tcBorders>
              <w:top w:val="nil"/>
              <w:left w:val="nil"/>
              <w:bottom w:val="single" w:sz="8" w:space="0" w:color="auto"/>
              <w:right w:val="single" w:sz="8" w:space="0" w:color="auto"/>
            </w:tcBorders>
            <w:vAlign w:val="center"/>
            <w:hideMark/>
          </w:tcPr>
          <w:p w:rsidR="00ED375C" w:rsidRDefault="00ED375C">
            <w:pPr>
              <w:pStyle w:val="ColorfulList-Accent11"/>
              <w:spacing w:before="120" w:after="120" w:line="240" w:lineRule="auto"/>
              <w:ind w:left="0"/>
              <w:rPr>
                <w:sz w:val="20"/>
                <w:szCs w:val="20"/>
              </w:rPr>
            </w:pPr>
            <w:r>
              <w:rPr>
                <w:sz w:val="20"/>
                <w:szCs w:val="20"/>
              </w:rPr>
              <w:t>  </w:t>
            </w:r>
            <w:sdt>
              <w:sdtPr>
                <w:rPr>
                  <w:sz w:val="20"/>
                  <w:szCs w:val="20"/>
                </w:rPr>
                <w:id w:val="-1454474560"/>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sz w:val="20"/>
                    <w:szCs w:val="20"/>
                  </w:rPr>
                  <w:t>☐</w:t>
                </w:r>
              </w:sdtContent>
            </w:sdt>
            <w:r>
              <w:rPr>
                <w:sz w:val="20"/>
                <w:szCs w:val="20"/>
              </w:rPr>
              <w:t xml:space="preserve"> Rapid Response </w:t>
            </w:r>
            <w:r>
              <w:rPr>
                <w:i/>
                <w:iCs/>
                <w:color w:val="262626"/>
                <w:sz w:val="16"/>
                <w:szCs w:val="16"/>
              </w:rPr>
              <w:t xml:space="preserve">(See procedure on </w:t>
            </w:r>
            <w:hyperlink r:id="rId7" w:history="1">
              <w:r>
                <w:rPr>
                  <w:rStyle w:val="Hyperlink"/>
                  <w:i/>
                  <w:iCs/>
                  <w:sz w:val="16"/>
                  <w:szCs w:val="16"/>
                </w:rPr>
                <w:t>KARL</w:t>
              </w:r>
            </w:hyperlink>
            <w:r>
              <w:rPr>
                <w:i/>
                <w:iCs/>
                <w:color w:val="262626"/>
                <w:sz w:val="16"/>
                <w:szCs w:val="16"/>
              </w:rPr>
              <w:t>)</w:t>
            </w:r>
          </w:p>
        </w:tc>
      </w:tr>
      <w:tr w:rsidR="00ED375C" w:rsidTr="00ED375C">
        <w:trPr>
          <w:trHeight w:val="287"/>
        </w:trPr>
        <w:tc>
          <w:tcPr>
            <w:tcW w:w="217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375C" w:rsidRDefault="00ED375C">
            <w:pPr>
              <w:spacing w:before="120" w:after="120"/>
              <w:rPr>
                <w:b/>
                <w:bCs/>
                <w:color w:val="262626"/>
              </w:rPr>
            </w:pPr>
            <w:r>
              <w:rPr>
                <w:b/>
                <w:bCs/>
                <w:color w:val="262626"/>
              </w:rPr>
              <w:t xml:space="preserve">If approved, where to allocate the budget? </w:t>
            </w:r>
          </w:p>
          <w:p w:rsidR="00ED375C" w:rsidRDefault="00ED375C">
            <w:pPr>
              <w:spacing w:before="120" w:after="120"/>
              <w:rPr>
                <w:b/>
                <w:bCs/>
                <w:color w:val="262626"/>
              </w:rPr>
            </w:pPr>
            <w:r>
              <w:rPr>
                <w:i/>
                <w:iCs/>
                <w:color w:val="262626"/>
                <w:sz w:val="16"/>
                <w:szCs w:val="16"/>
              </w:rPr>
              <w:t>(If the budget is split between multiple programs, please copy/paste this section as needed.)</w:t>
            </w: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Amount</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sz w:val="20"/>
                <w:szCs w:val="20"/>
              </w:rPr>
              <w:t>$600,000</w:t>
            </w:r>
          </w:p>
        </w:tc>
      </w:tr>
      <w:tr w:rsidR="00ED375C" w:rsidTr="00ED375C">
        <w:trPr>
          <w:trHeight w:val="288"/>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Category of Work</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color w:val="000000"/>
              </w:rPr>
              <w:t>FIELD : Fealty to Equity &amp; Social Inclusion</w:t>
            </w:r>
          </w:p>
        </w:tc>
      </w:tr>
      <w:tr w:rsidR="00ED375C" w:rsidTr="00ED375C">
        <w:trPr>
          <w:trHeight w:val="287"/>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Division/Program Code</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color w:val="000000"/>
              </w:rPr>
              <w:t>OSIFE : MIGRATION : Inclusion in European cities (O241B)</w:t>
            </w:r>
          </w:p>
        </w:tc>
      </w:tr>
      <w:tr w:rsidR="00ED375C" w:rsidTr="00ED375C">
        <w:trPr>
          <w:trHeight w:val="288"/>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 xml:space="preserve">Entity </w:t>
            </w:r>
            <w:r>
              <w:rPr>
                <w:i/>
                <w:iCs/>
                <w:sz w:val="20"/>
                <w:szCs w:val="20"/>
              </w:rPr>
              <w:t>(i.e., FPOS, ZUG)</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color w:val="000000"/>
              </w:rPr>
              <w:t>40% OSIBP 60% ZUG</w:t>
            </w:r>
          </w:p>
        </w:tc>
      </w:tr>
      <w:tr w:rsidR="00ED375C" w:rsidTr="00ED375C">
        <w:trPr>
          <w:trHeight w:val="287"/>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 xml:space="preserve">Fund Class </w:t>
            </w:r>
            <w:r>
              <w:rPr>
                <w:i/>
                <w:iCs/>
                <w:sz w:val="20"/>
                <w:szCs w:val="20"/>
              </w:rPr>
              <w:t>(i.e., Lobbying/Non-Lobbying)</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color w:val="000000"/>
              </w:rPr>
              <w:t>50% Lobbying and 50% Non-Lobbying</w:t>
            </w:r>
          </w:p>
        </w:tc>
      </w:tr>
      <w:tr w:rsidR="00ED375C" w:rsidTr="00ED375C">
        <w:trPr>
          <w:trHeight w:val="288"/>
        </w:trPr>
        <w:tc>
          <w:tcPr>
            <w:tcW w:w="0" w:type="auto"/>
            <w:vMerge/>
            <w:tcBorders>
              <w:top w:val="nil"/>
              <w:left w:val="single" w:sz="8" w:space="0" w:color="auto"/>
              <w:bottom w:val="single" w:sz="8" w:space="0" w:color="auto"/>
              <w:right w:val="single" w:sz="8" w:space="0" w:color="auto"/>
            </w:tcBorders>
            <w:vAlign w:val="center"/>
            <w:hideMark/>
          </w:tcPr>
          <w:p w:rsidR="00ED375C" w:rsidRDefault="00ED375C">
            <w:pPr>
              <w:rPr>
                <w:b/>
                <w:bCs/>
                <w:color w:val="262626"/>
              </w:rPr>
            </w:pPr>
          </w:p>
        </w:tc>
        <w:tc>
          <w:tcPr>
            <w:tcW w:w="37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D375C" w:rsidRDefault="00ED375C">
            <w:pPr>
              <w:pStyle w:val="ColorfulList-Accent11"/>
              <w:spacing w:before="120" w:after="120" w:line="240" w:lineRule="auto"/>
              <w:ind w:left="0"/>
              <w:rPr>
                <w:sz w:val="20"/>
                <w:szCs w:val="20"/>
              </w:rPr>
            </w:pPr>
            <w:r>
              <w:rPr>
                <w:sz w:val="20"/>
                <w:szCs w:val="20"/>
              </w:rPr>
              <w:t xml:space="preserve">Geography </w:t>
            </w:r>
            <w:r>
              <w:rPr>
                <w:i/>
                <w:iCs/>
                <w:sz w:val="20"/>
                <w:szCs w:val="20"/>
              </w:rPr>
              <w:t>(of benefit)</w:t>
            </w:r>
          </w:p>
        </w:tc>
        <w:tc>
          <w:tcPr>
            <w:tcW w:w="3661" w:type="dxa"/>
            <w:tcBorders>
              <w:top w:val="nil"/>
              <w:left w:val="nil"/>
              <w:bottom w:val="single" w:sz="8" w:space="0" w:color="auto"/>
              <w:right w:val="single" w:sz="8" w:space="0" w:color="auto"/>
            </w:tcBorders>
            <w:hideMark/>
          </w:tcPr>
          <w:p w:rsidR="00ED375C" w:rsidRDefault="00ED375C">
            <w:pPr>
              <w:pStyle w:val="ColorfulList-Accent11"/>
              <w:spacing w:before="120" w:after="120" w:line="240" w:lineRule="auto"/>
              <w:ind w:left="0"/>
              <w:rPr>
                <w:sz w:val="20"/>
                <w:szCs w:val="20"/>
              </w:rPr>
            </w:pPr>
            <w:r>
              <w:rPr>
                <w:color w:val="000000"/>
              </w:rPr>
              <w:t>100% Europe</w:t>
            </w:r>
          </w:p>
        </w:tc>
      </w:tr>
      <w:tr w:rsidR="00ED375C" w:rsidTr="00ED375C">
        <w:tc>
          <w:tcPr>
            <w:tcW w:w="2730" w:type="dxa"/>
            <w:vAlign w:val="center"/>
            <w:hideMark/>
          </w:tcPr>
          <w:p w:rsidR="00ED375C" w:rsidRDefault="00ED375C">
            <w:pPr>
              <w:rPr>
                <w:rFonts w:ascii="Times New Roman" w:eastAsia="Times New Roman" w:hAnsi="Times New Roman"/>
                <w:sz w:val="20"/>
                <w:szCs w:val="20"/>
              </w:rPr>
            </w:pPr>
          </w:p>
        </w:tc>
        <w:tc>
          <w:tcPr>
            <w:tcW w:w="2220" w:type="dxa"/>
            <w:vAlign w:val="center"/>
            <w:hideMark/>
          </w:tcPr>
          <w:p w:rsidR="00ED375C" w:rsidRDefault="00ED375C">
            <w:pPr>
              <w:rPr>
                <w:rFonts w:ascii="Times New Roman" w:eastAsia="Times New Roman" w:hAnsi="Times New Roman"/>
                <w:sz w:val="20"/>
                <w:szCs w:val="20"/>
              </w:rPr>
            </w:pPr>
          </w:p>
        </w:tc>
        <w:tc>
          <w:tcPr>
            <w:tcW w:w="2460" w:type="dxa"/>
            <w:vAlign w:val="center"/>
            <w:hideMark/>
          </w:tcPr>
          <w:p w:rsidR="00ED375C" w:rsidRDefault="00ED375C">
            <w:pPr>
              <w:rPr>
                <w:rFonts w:ascii="Times New Roman" w:eastAsia="Times New Roman" w:hAnsi="Times New Roman"/>
                <w:sz w:val="20"/>
                <w:szCs w:val="20"/>
              </w:rPr>
            </w:pPr>
          </w:p>
        </w:tc>
        <w:tc>
          <w:tcPr>
            <w:tcW w:w="4575" w:type="dxa"/>
            <w:vAlign w:val="center"/>
            <w:hideMark/>
          </w:tcPr>
          <w:p w:rsidR="00ED375C" w:rsidRDefault="00ED375C">
            <w:pPr>
              <w:rPr>
                <w:rFonts w:ascii="Times New Roman" w:eastAsia="Times New Roman" w:hAnsi="Times New Roman"/>
                <w:sz w:val="20"/>
                <w:szCs w:val="20"/>
              </w:rPr>
            </w:pPr>
          </w:p>
        </w:tc>
      </w:tr>
    </w:tbl>
    <w:p w:rsidR="00ED375C" w:rsidRDefault="00ED375C" w:rsidP="00ED375C">
      <w:pPr>
        <w:spacing w:before="120" w:after="120"/>
      </w:pPr>
    </w:p>
    <w:p w:rsidR="00CA3A72" w:rsidRDefault="00CA3A72">
      <w:bookmarkStart w:id="0" w:name="_GoBack"/>
      <w:bookmarkEnd w:id="0"/>
    </w:p>
    <w:sectPr w:rsidR="00CA3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E331E"/>
    <w:multiLevelType w:val="hybridMultilevel"/>
    <w:tmpl w:val="FD820F3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2CA08F5"/>
    <w:multiLevelType w:val="hybridMultilevel"/>
    <w:tmpl w:val="C45A3D82"/>
    <w:lvl w:ilvl="0" w:tplc="04090001">
      <w:start w:val="1"/>
      <w:numFmt w:val="bullet"/>
      <w:lvlText w:val="."/>
      <w:lvlJc w:val="left"/>
      <w:pPr>
        <w:tabs>
          <w:tab w:val="num" w:pos="72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2160"/>
        </w:tabs>
        <w:ind w:left="1800" w:hanging="360"/>
      </w:pPr>
      <w:rPr>
        <w:rFonts w:ascii="Wingdings" w:hAnsi="Wingdings" w:hint="default"/>
      </w:rPr>
    </w:lvl>
    <w:lvl w:ilvl="3" w:tplc="04090001">
      <w:start w:val="1"/>
      <w:numFmt w:val="bullet"/>
      <w:lvlText w:val="."/>
      <w:lvlJc w:val="left"/>
      <w:pPr>
        <w:tabs>
          <w:tab w:val="num" w:pos="2880"/>
        </w:tabs>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tabs>
          <w:tab w:val="num" w:pos="4320"/>
        </w:tabs>
        <w:ind w:left="3960" w:hanging="360"/>
      </w:pPr>
      <w:rPr>
        <w:rFonts w:ascii="Wingdings" w:hAnsi="Wingdings" w:hint="default"/>
      </w:rPr>
    </w:lvl>
    <w:lvl w:ilvl="6" w:tplc="04090001">
      <w:start w:val="1"/>
      <w:numFmt w:val="bullet"/>
      <w:lvlText w:val="."/>
      <w:lvlJc w:val="left"/>
      <w:pPr>
        <w:tabs>
          <w:tab w:val="num" w:pos="5040"/>
        </w:tabs>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tabs>
          <w:tab w:val="num" w:pos="648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5C"/>
    <w:rsid w:val="00CA3A72"/>
    <w:rsid w:val="00ED3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75C"/>
    <w:rPr>
      <w:color w:val="0000FF"/>
      <w:u w:val="single"/>
    </w:rPr>
  </w:style>
  <w:style w:type="paragraph" w:styleId="ListParagraph">
    <w:name w:val="List Paragraph"/>
    <w:basedOn w:val="Normal"/>
    <w:uiPriority w:val="34"/>
    <w:qFormat/>
    <w:rsid w:val="00ED375C"/>
    <w:pPr>
      <w:ind w:left="720"/>
    </w:pPr>
  </w:style>
  <w:style w:type="paragraph" w:customStyle="1" w:styleId="ColorfulList-Accent11">
    <w:name w:val="Colorful List - Accent 11"/>
    <w:basedOn w:val="Normal"/>
    <w:uiPriority w:val="34"/>
    <w:rsid w:val="00ED375C"/>
    <w:pPr>
      <w:spacing w:after="200" w:line="276" w:lineRule="auto"/>
      <w:ind w:left="720"/>
      <w:contextualSpacing/>
    </w:pPr>
  </w:style>
  <w:style w:type="paragraph" w:styleId="BalloonText">
    <w:name w:val="Balloon Text"/>
    <w:basedOn w:val="Normal"/>
    <w:link w:val="BalloonTextChar"/>
    <w:uiPriority w:val="99"/>
    <w:semiHidden/>
    <w:unhideWhenUsed/>
    <w:rsid w:val="00ED375C"/>
    <w:rPr>
      <w:rFonts w:ascii="Tahoma" w:hAnsi="Tahoma" w:cs="Tahoma"/>
      <w:sz w:val="16"/>
      <w:szCs w:val="16"/>
    </w:rPr>
  </w:style>
  <w:style w:type="character" w:customStyle="1" w:styleId="BalloonTextChar">
    <w:name w:val="Balloon Text Char"/>
    <w:basedOn w:val="DefaultParagraphFont"/>
    <w:link w:val="BalloonText"/>
    <w:uiPriority w:val="99"/>
    <w:semiHidden/>
    <w:rsid w:val="00ED3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5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75C"/>
    <w:rPr>
      <w:color w:val="0000FF"/>
      <w:u w:val="single"/>
    </w:rPr>
  </w:style>
  <w:style w:type="paragraph" w:styleId="ListParagraph">
    <w:name w:val="List Paragraph"/>
    <w:basedOn w:val="Normal"/>
    <w:uiPriority w:val="34"/>
    <w:qFormat/>
    <w:rsid w:val="00ED375C"/>
    <w:pPr>
      <w:ind w:left="720"/>
    </w:pPr>
  </w:style>
  <w:style w:type="paragraph" w:customStyle="1" w:styleId="ColorfulList-Accent11">
    <w:name w:val="Colorful List - Accent 11"/>
    <w:basedOn w:val="Normal"/>
    <w:uiPriority w:val="34"/>
    <w:rsid w:val="00ED375C"/>
    <w:pPr>
      <w:spacing w:after="200" w:line="276" w:lineRule="auto"/>
      <w:ind w:left="720"/>
      <w:contextualSpacing/>
    </w:pPr>
  </w:style>
  <w:style w:type="paragraph" w:styleId="BalloonText">
    <w:name w:val="Balloon Text"/>
    <w:basedOn w:val="Normal"/>
    <w:link w:val="BalloonTextChar"/>
    <w:uiPriority w:val="99"/>
    <w:semiHidden/>
    <w:unhideWhenUsed/>
    <w:rsid w:val="00ED375C"/>
    <w:rPr>
      <w:rFonts w:ascii="Tahoma" w:hAnsi="Tahoma" w:cs="Tahoma"/>
      <w:sz w:val="16"/>
      <w:szCs w:val="16"/>
    </w:rPr>
  </w:style>
  <w:style w:type="character" w:customStyle="1" w:styleId="BalloonTextChar">
    <w:name w:val="Balloon Text Char"/>
    <w:basedOn w:val="DefaultParagraphFont"/>
    <w:link w:val="BalloonText"/>
    <w:uiPriority w:val="99"/>
    <w:semiHidden/>
    <w:rsid w:val="00ED3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rl.soros.org/communities/reserves/files/ii.-policies/rapid-response-as-of-10-november-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reserves/vie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2016-03-11T11:07:00Z</dcterms:created>
  <dcterms:modified xsi:type="dcterms:W3CDTF">2016-03-11T11:07:00Z</dcterms:modified>
</cp:coreProperties>
</file>