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48"/>
        <w:gridCol w:w="1525"/>
        <w:gridCol w:w="2049"/>
        <w:gridCol w:w="3574"/>
      </w:tblGrid>
      <w:tr w:rsidR="003830A8" w:rsidRPr="001E4E8E" w:rsidTr="003830A8">
        <w:trPr>
          <w:trHeight w:val="350"/>
        </w:trPr>
        <w:tc>
          <w:tcPr>
            <w:tcW w:w="2448" w:type="dxa"/>
            <w:shd w:val="clear" w:color="auto" w:fill="auto"/>
            <w:tcMar>
              <w:top w:w="0" w:type="dxa"/>
              <w:left w:w="108" w:type="dxa"/>
              <w:bottom w:w="0" w:type="dxa"/>
              <w:right w:w="108" w:type="dxa"/>
            </w:tcMar>
            <w:hideMark/>
          </w:tcPr>
          <w:p w:rsidR="003830A8" w:rsidRPr="001E4E8E" w:rsidRDefault="003830A8" w:rsidP="00471F9B">
            <w:pPr>
              <w:spacing w:after="0" w:line="240" w:lineRule="auto"/>
              <w:rPr>
                <w:rFonts w:ascii="Calibri" w:hAnsi="Calibri"/>
                <w:b/>
                <w:bCs/>
                <w:color w:val="262626"/>
                <w:sz w:val="20"/>
                <w:szCs w:val="20"/>
              </w:rPr>
            </w:pPr>
            <w:bookmarkStart w:id="0" w:name="_GoBack"/>
            <w:bookmarkEnd w:id="0"/>
            <w:r w:rsidRPr="001E4E8E">
              <w:rPr>
                <w:b/>
                <w:bCs/>
                <w:color w:val="262626"/>
                <w:sz w:val="20"/>
                <w:szCs w:val="20"/>
              </w:rPr>
              <w:t>Shared Framework Title</w:t>
            </w:r>
          </w:p>
        </w:tc>
        <w:tc>
          <w:tcPr>
            <w:tcW w:w="7148" w:type="dxa"/>
            <w:gridSpan w:val="3"/>
            <w:shd w:val="clear" w:color="auto" w:fill="auto"/>
            <w:tcMar>
              <w:top w:w="0" w:type="dxa"/>
              <w:left w:w="108" w:type="dxa"/>
              <w:bottom w:w="0" w:type="dxa"/>
              <w:right w:w="108" w:type="dxa"/>
            </w:tcMar>
          </w:tcPr>
          <w:p w:rsidR="003830A8" w:rsidRPr="001E4E8E" w:rsidRDefault="00AA5FB6" w:rsidP="00471F9B">
            <w:pPr>
              <w:spacing w:after="0" w:line="240" w:lineRule="auto"/>
              <w:rPr>
                <w:rFonts w:ascii="Arial Narrow" w:hAnsi="Arial Narrow"/>
                <w:color w:val="262626"/>
                <w:sz w:val="20"/>
                <w:szCs w:val="20"/>
              </w:rPr>
            </w:pPr>
            <w:r w:rsidRPr="001E4E8E">
              <w:rPr>
                <w:rFonts w:ascii="Arial Narrow" w:hAnsi="Arial Narrow"/>
                <w:color w:val="262626"/>
                <w:sz w:val="20"/>
                <w:szCs w:val="20"/>
              </w:rPr>
              <w:t>Legal Empowerment</w:t>
            </w:r>
          </w:p>
        </w:tc>
      </w:tr>
      <w:tr w:rsidR="003830A8" w:rsidRPr="001E4E8E" w:rsidTr="003830A8">
        <w:trPr>
          <w:trHeight w:val="20"/>
        </w:trPr>
        <w:tc>
          <w:tcPr>
            <w:tcW w:w="2448" w:type="dxa"/>
            <w:shd w:val="clear" w:color="auto" w:fill="auto"/>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r w:rsidRPr="001E4E8E">
              <w:rPr>
                <w:b/>
                <w:bCs/>
                <w:color w:val="262626"/>
                <w:sz w:val="20"/>
                <w:szCs w:val="20"/>
              </w:rPr>
              <w:t>Amount Requested</w:t>
            </w:r>
          </w:p>
        </w:tc>
        <w:tc>
          <w:tcPr>
            <w:tcW w:w="7148" w:type="dxa"/>
            <w:gridSpan w:val="3"/>
            <w:shd w:val="clear" w:color="auto" w:fill="auto"/>
            <w:tcMar>
              <w:top w:w="0" w:type="dxa"/>
              <w:left w:w="108" w:type="dxa"/>
              <w:bottom w:w="0" w:type="dxa"/>
              <w:right w:w="108" w:type="dxa"/>
            </w:tcMar>
          </w:tcPr>
          <w:p w:rsidR="003830A8" w:rsidRPr="001E4E8E" w:rsidRDefault="00471F9B" w:rsidP="00471F9B">
            <w:pPr>
              <w:spacing w:after="0" w:line="240" w:lineRule="auto"/>
              <w:rPr>
                <w:rFonts w:ascii="Arial Narrow" w:hAnsi="Arial Narrow"/>
                <w:color w:val="262626"/>
                <w:sz w:val="20"/>
                <w:szCs w:val="20"/>
              </w:rPr>
            </w:pPr>
            <w:r w:rsidRPr="001E4E8E">
              <w:rPr>
                <w:rFonts w:ascii="Arial Narrow" w:hAnsi="Arial Narrow" w:cs="Arial"/>
                <w:i/>
                <w:sz w:val="20"/>
                <w:szCs w:val="20"/>
              </w:rPr>
              <w:t>251,495.00 USD</w:t>
            </w:r>
          </w:p>
        </w:tc>
      </w:tr>
      <w:tr w:rsidR="003830A8" w:rsidRPr="001E4E8E" w:rsidTr="003830A8">
        <w:trPr>
          <w:trHeight w:val="20"/>
        </w:trPr>
        <w:tc>
          <w:tcPr>
            <w:tcW w:w="2448" w:type="dxa"/>
            <w:shd w:val="clear" w:color="auto" w:fill="auto"/>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r w:rsidRPr="001E4E8E">
              <w:rPr>
                <w:b/>
                <w:bCs/>
                <w:color w:val="262626"/>
                <w:sz w:val="20"/>
                <w:szCs w:val="20"/>
              </w:rPr>
              <w:t>Detail on Amount Requested (Optional)</w:t>
            </w:r>
          </w:p>
        </w:tc>
        <w:tc>
          <w:tcPr>
            <w:tcW w:w="7148" w:type="dxa"/>
            <w:gridSpan w:val="3"/>
            <w:shd w:val="clear" w:color="auto" w:fill="auto"/>
            <w:tcMar>
              <w:top w:w="0" w:type="dxa"/>
              <w:left w:w="108" w:type="dxa"/>
              <w:bottom w:w="0" w:type="dxa"/>
              <w:right w:w="108" w:type="dxa"/>
            </w:tcMar>
          </w:tcPr>
          <w:p w:rsidR="003830A8" w:rsidRPr="001E4E8E" w:rsidRDefault="00962DBF" w:rsidP="00471F9B">
            <w:pPr>
              <w:spacing w:after="0" w:line="240" w:lineRule="auto"/>
              <w:rPr>
                <w:rFonts w:ascii="Arial Narrow" w:hAnsi="Arial Narrow"/>
                <w:color w:val="262626"/>
                <w:sz w:val="20"/>
                <w:szCs w:val="20"/>
              </w:rPr>
            </w:pPr>
            <w:r w:rsidRPr="001E4E8E">
              <w:rPr>
                <w:rFonts w:ascii="Arial Narrow" w:hAnsi="Arial Narrow"/>
                <w:color w:val="262626"/>
                <w:sz w:val="20"/>
                <w:szCs w:val="20"/>
              </w:rPr>
              <w:t xml:space="preserve">As submitted in the Strategy 2016-2020 and </w:t>
            </w:r>
            <w:r w:rsidR="001E4E8E">
              <w:rPr>
                <w:rFonts w:ascii="Arial Narrow" w:hAnsi="Arial Narrow"/>
                <w:color w:val="262626"/>
                <w:sz w:val="20"/>
                <w:szCs w:val="20"/>
              </w:rPr>
              <w:t xml:space="preserve">the </w:t>
            </w:r>
            <w:r w:rsidRPr="001E4E8E">
              <w:rPr>
                <w:rFonts w:ascii="Arial Narrow" w:hAnsi="Arial Narrow"/>
                <w:color w:val="262626"/>
                <w:sz w:val="20"/>
                <w:szCs w:val="20"/>
              </w:rPr>
              <w:t>Action Plan for 2016</w:t>
            </w:r>
          </w:p>
        </w:tc>
      </w:tr>
      <w:tr w:rsidR="003830A8" w:rsidRPr="001E4E8E" w:rsidTr="003830A8">
        <w:trPr>
          <w:trHeight w:val="20"/>
        </w:trPr>
        <w:tc>
          <w:tcPr>
            <w:tcW w:w="2448" w:type="dxa"/>
            <w:shd w:val="clear" w:color="auto" w:fill="auto"/>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r w:rsidRPr="001E4E8E">
              <w:rPr>
                <w:b/>
                <w:bCs/>
                <w:color w:val="262626"/>
                <w:sz w:val="20"/>
                <w:szCs w:val="20"/>
              </w:rPr>
              <w:t>Background (Optional)</w:t>
            </w:r>
          </w:p>
        </w:tc>
        <w:tc>
          <w:tcPr>
            <w:tcW w:w="7148" w:type="dxa"/>
            <w:gridSpan w:val="3"/>
            <w:shd w:val="clear" w:color="auto" w:fill="auto"/>
            <w:tcMar>
              <w:top w:w="0" w:type="dxa"/>
              <w:left w:w="108" w:type="dxa"/>
              <w:bottom w:w="0" w:type="dxa"/>
              <w:right w:w="108" w:type="dxa"/>
            </w:tcMar>
          </w:tcPr>
          <w:p w:rsidR="00471F9B" w:rsidRPr="001E4E8E" w:rsidRDefault="00471F9B" w:rsidP="00471F9B">
            <w:pPr>
              <w:spacing w:after="0" w:line="240" w:lineRule="auto"/>
              <w:jc w:val="both"/>
              <w:rPr>
                <w:rFonts w:ascii="Arial Narrow" w:hAnsi="Arial Narrow"/>
                <w:sz w:val="20"/>
                <w:szCs w:val="20"/>
                <w:lang w:val="pt-BR"/>
              </w:rPr>
            </w:pPr>
            <w:r w:rsidRPr="001E4E8E">
              <w:rPr>
                <w:rFonts w:ascii="Arial Narrow" w:hAnsi="Arial Narrow"/>
                <w:sz w:val="20"/>
                <w:szCs w:val="20"/>
                <w:lang w:val="pt-BR"/>
              </w:rPr>
              <w:t>After having passed through the selection criteria and after participating at the legal empowerment shared framework in November 2015 Moldova became part of the new shared framework on legal empowerment approved by the Global Board in December 2015.</w:t>
            </w:r>
          </w:p>
          <w:p w:rsidR="00471F9B" w:rsidRPr="001E4E8E" w:rsidRDefault="00471F9B" w:rsidP="00471F9B">
            <w:pPr>
              <w:spacing w:after="0" w:line="240" w:lineRule="auto"/>
              <w:jc w:val="both"/>
              <w:rPr>
                <w:rFonts w:ascii="Arial Narrow" w:hAnsi="Arial Narrow"/>
                <w:sz w:val="20"/>
                <w:szCs w:val="20"/>
                <w:lang w:val="pt-BR"/>
              </w:rPr>
            </w:pPr>
            <w:r w:rsidRPr="001E4E8E">
              <w:rPr>
                <w:rFonts w:ascii="Arial Narrow" w:hAnsi="Arial Narrow"/>
                <w:sz w:val="20"/>
                <w:szCs w:val="20"/>
                <w:lang w:val="pt-BR"/>
              </w:rPr>
              <w:t xml:space="preserve">In Moldova community-based paralegalism is part of the national legal aid system and there are evolving mechanisms that secure their independence and accountability. It is expected that this experience will particularly benefit other countries in the shared framework. </w:t>
            </w:r>
          </w:p>
          <w:p w:rsidR="003830A8" w:rsidRPr="001E4E8E" w:rsidRDefault="00471F9B" w:rsidP="001E4E8E">
            <w:pPr>
              <w:spacing w:after="0" w:line="240" w:lineRule="auto"/>
              <w:jc w:val="both"/>
              <w:rPr>
                <w:rFonts w:ascii="Arial Narrow" w:eastAsia="Calibri" w:hAnsi="Arial Narrow" w:cs="Times New Roman"/>
                <w:bCs/>
                <w:sz w:val="20"/>
                <w:szCs w:val="20"/>
              </w:rPr>
            </w:pPr>
            <w:r w:rsidRPr="001E4E8E">
              <w:rPr>
                <w:rFonts w:ascii="Arial Narrow" w:eastAsia="Calibri" w:hAnsi="Arial Narrow" w:cs="Times New Roman"/>
                <w:sz w:val="20"/>
                <w:szCs w:val="20"/>
              </w:rPr>
              <w:t xml:space="preserve">SFM is working with the National Legal Aid Council (NLAC) and the Ministry of Justice to develop the primary legal aid system focused on legal empowerment of marginalized groups. </w:t>
            </w:r>
            <w:r w:rsidRPr="001E4E8E">
              <w:rPr>
                <w:rFonts w:ascii="Arial Narrow" w:eastAsia="Times New Roman" w:hAnsi="Arial Narrow" w:cs="Times New Roman"/>
                <w:bCs/>
                <w:sz w:val="20"/>
                <w:szCs w:val="20"/>
                <w:lang w:eastAsia="ro-RO"/>
              </w:rPr>
              <w:t xml:space="preserve">In 2015, the network of 32 community paralegals fully transitioned under the NLAC, being currently financed by the Government. The relevant strategic documents adopted by the Parliament envisage a gradual extension of the network. </w:t>
            </w:r>
            <w:r w:rsidRPr="001E4E8E">
              <w:rPr>
                <w:rFonts w:ascii="Arial Narrow" w:eastAsia="Calibri" w:hAnsi="Arial Narrow" w:cs="Times New Roman"/>
                <w:bCs/>
                <w:sz w:val="20"/>
                <w:szCs w:val="20"/>
              </w:rPr>
              <w:t>However, NLAC incurs challenges as it takes over complete administration of the network.</w:t>
            </w:r>
          </w:p>
        </w:tc>
      </w:tr>
      <w:tr w:rsidR="003830A8" w:rsidRPr="001E4E8E" w:rsidTr="003830A8">
        <w:trPr>
          <w:trHeight w:val="20"/>
        </w:trPr>
        <w:tc>
          <w:tcPr>
            <w:tcW w:w="2448" w:type="dxa"/>
            <w:shd w:val="clear" w:color="auto" w:fill="auto"/>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r w:rsidRPr="001E4E8E">
              <w:rPr>
                <w:b/>
                <w:bCs/>
                <w:color w:val="262626"/>
                <w:sz w:val="20"/>
                <w:szCs w:val="20"/>
              </w:rPr>
              <w:t>Summary of Plans and Relation to Overall Shared Framework Goals (100 words)</w:t>
            </w:r>
          </w:p>
        </w:tc>
        <w:tc>
          <w:tcPr>
            <w:tcW w:w="7148" w:type="dxa"/>
            <w:gridSpan w:val="3"/>
            <w:shd w:val="clear" w:color="auto" w:fill="auto"/>
            <w:tcMar>
              <w:top w:w="0" w:type="dxa"/>
              <w:left w:w="108" w:type="dxa"/>
              <w:bottom w:w="0" w:type="dxa"/>
              <w:right w:w="108" w:type="dxa"/>
            </w:tcMar>
          </w:tcPr>
          <w:p w:rsidR="003830A8" w:rsidRPr="001E4E8E" w:rsidRDefault="002B7051" w:rsidP="00962DBF">
            <w:pPr>
              <w:spacing w:after="0" w:line="240" w:lineRule="auto"/>
              <w:jc w:val="both"/>
              <w:rPr>
                <w:rFonts w:ascii="Arial Narrow" w:eastAsia="Times New Roman" w:hAnsi="Arial Narrow"/>
                <w:bCs/>
                <w:sz w:val="20"/>
                <w:szCs w:val="20"/>
                <w:lang w:eastAsia="ro-RO"/>
              </w:rPr>
            </w:pPr>
            <w:r w:rsidRPr="001E4E8E">
              <w:rPr>
                <w:rFonts w:ascii="Arial Narrow" w:eastAsia="Times New Roman" w:hAnsi="Arial Narrow"/>
                <w:bCs/>
                <w:sz w:val="20"/>
                <w:szCs w:val="20"/>
                <w:lang w:eastAsia="ro-RO"/>
              </w:rPr>
              <w:t>During 2016,</w:t>
            </w:r>
            <w:r w:rsidR="00962DBF" w:rsidRPr="001E4E8E">
              <w:rPr>
                <w:rFonts w:ascii="Arial Narrow" w:eastAsia="Times New Roman" w:hAnsi="Arial Narrow"/>
                <w:bCs/>
                <w:sz w:val="20"/>
                <w:szCs w:val="20"/>
                <w:lang w:eastAsia="ro-RO"/>
              </w:rPr>
              <w:t xml:space="preserve"> SFM is planning firstly to assess the legal needs of the youth and then to update all the training materials and the Internet platform according to the assessment’s results. </w:t>
            </w:r>
            <w:r w:rsidRPr="001E4E8E">
              <w:rPr>
                <w:rFonts w:ascii="Arial Narrow" w:eastAsia="Times New Roman" w:hAnsi="Arial Narrow"/>
                <w:bCs/>
                <w:sz w:val="20"/>
                <w:szCs w:val="20"/>
                <w:lang w:eastAsia="ro-RO"/>
              </w:rPr>
              <w:t xml:space="preserve"> </w:t>
            </w:r>
            <w:r w:rsidR="00962DBF" w:rsidRPr="001E4E8E">
              <w:rPr>
                <w:rFonts w:ascii="Arial Narrow" w:eastAsia="Times New Roman" w:hAnsi="Arial Narrow"/>
                <w:bCs/>
                <w:sz w:val="20"/>
                <w:szCs w:val="20"/>
                <w:lang w:eastAsia="ro-RO"/>
              </w:rPr>
              <w:t>Afterwards, SF</w:t>
            </w:r>
            <w:r w:rsidRPr="001E4E8E">
              <w:rPr>
                <w:rFonts w:ascii="Arial Narrow" w:eastAsia="Times New Roman" w:hAnsi="Arial Narrow"/>
                <w:bCs/>
                <w:sz w:val="20"/>
                <w:szCs w:val="20"/>
                <w:lang w:eastAsia="ro-RO"/>
              </w:rPr>
              <w:t>M</w:t>
            </w:r>
            <w:r w:rsidR="00962DBF" w:rsidRPr="001E4E8E">
              <w:rPr>
                <w:rFonts w:ascii="Arial Narrow" w:eastAsia="Times New Roman" w:hAnsi="Arial Narrow"/>
                <w:bCs/>
                <w:sz w:val="20"/>
                <w:szCs w:val="20"/>
                <w:lang w:eastAsia="ro-RO"/>
              </w:rPr>
              <w:t xml:space="preserve"> in cooperation with NLAC</w:t>
            </w:r>
            <w:r w:rsidRPr="001E4E8E">
              <w:rPr>
                <w:rFonts w:ascii="Arial Narrow" w:eastAsia="Times New Roman" w:hAnsi="Arial Narrow"/>
                <w:bCs/>
                <w:sz w:val="20"/>
                <w:szCs w:val="20"/>
                <w:lang w:eastAsia="ro-RO"/>
              </w:rPr>
              <w:t xml:space="preserve"> is aiming to increase the number of paralegals up to 42, of which 10 paralegals will be specialized in delivering special legal aid to vulnerable groups. Community paralegals will be supported by a back-up team of hand-picked lawyers. Rural areas without community paralegals will be reached by a mobile legal clinic. </w:t>
            </w:r>
            <w:r w:rsidR="00962DBF" w:rsidRPr="001E4E8E">
              <w:rPr>
                <w:rFonts w:ascii="Arial Narrow" w:eastAsia="Times New Roman" w:hAnsi="Arial Narrow"/>
                <w:bCs/>
                <w:sz w:val="20"/>
                <w:szCs w:val="20"/>
                <w:lang w:eastAsia="ro-RO"/>
              </w:rPr>
              <w:t>Additionally</w:t>
            </w:r>
            <w:r w:rsidRPr="001E4E8E">
              <w:rPr>
                <w:rFonts w:ascii="Arial Narrow" w:eastAsia="Times New Roman" w:hAnsi="Arial Narrow"/>
                <w:bCs/>
                <w:sz w:val="20"/>
                <w:szCs w:val="20"/>
                <w:lang w:eastAsia="ro-RO"/>
              </w:rPr>
              <w:t>, our efforts will be oriented towards developing a Paralegal Association and institutionalization of paralegal profession.</w:t>
            </w:r>
          </w:p>
        </w:tc>
      </w:tr>
      <w:tr w:rsidR="003830A8" w:rsidRPr="001E4E8E" w:rsidTr="003830A8">
        <w:trPr>
          <w:trHeight w:val="20"/>
        </w:trPr>
        <w:tc>
          <w:tcPr>
            <w:tcW w:w="2448" w:type="dxa"/>
            <w:shd w:val="clear" w:color="auto" w:fill="auto"/>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r w:rsidRPr="001E4E8E">
              <w:rPr>
                <w:b/>
                <w:bCs/>
                <w:color w:val="262626"/>
                <w:sz w:val="20"/>
                <w:szCs w:val="20"/>
              </w:rPr>
              <w:t>Activities Proposed (500 words)</w:t>
            </w:r>
          </w:p>
        </w:tc>
        <w:tc>
          <w:tcPr>
            <w:tcW w:w="7148" w:type="dxa"/>
            <w:gridSpan w:val="3"/>
            <w:shd w:val="clear" w:color="auto" w:fill="auto"/>
            <w:tcMar>
              <w:top w:w="0" w:type="dxa"/>
              <w:left w:w="108" w:type="dxa"/>
              <w:bottom w:w="0" w:type="dxa"/>
              <w:right w:w="108" w:type="dxa"/>
            </w:tcMar>
          </w:tcPr>
          <w:p w:rsidR="00471F9B" w:rsidRPr="001E4E8E" w:rsidRDefault="00E9786D" w:rsidP="00471F9B">
            <w:pPr>
              <w:spacing w:line="240" w:lineRule="auto"/>
              <w:contextualSpacing/>
              <w:jc w:val="both"/>
              <w:rPr>
                <w:rFonts w:ascii="Arial Narrow" w:hAnsi="Arial Narrow" w:cs="Arial"/>
                <w:sz w:val="20"/>
                <w:szCs w:val="20"/>
              </w:rPr>
            </w:pPr>
            <w:r>
              <w:rPr>
                <w:rFonts w:ascii="Arial Narrow" w:hAnsi="Arial Narrow" w:cs="Arial"/>
                <w:sz w:val="20"/>
                <w:szCs w:val="20"/>
              </w:rPr>
              <w:t xml:space="preserve">- </w:t>
            </w:r>
            <w:r w:rsidR="00471F9B" w:rsidRPr="001E4E8E">
              <w:rPr>
                <w:rFonts w:ascii="Arial Narrow" w:hAnsi="Arial Narrow" w:cs="Arial"/>
                <w:sz w:val="20"/>
                <w:szCs w:val="20"/>
              </w:rPr>
              <w:t>Increase the number of paralegals up to 42 and specialize 10 paralegals to deliver legal aid to vulnerable groups;</w:t>
            </w:r>
          </w:p>
          <w:p w:rsidR="00471F9B" w:rsidRPr="001E4E8E" w:rsidRDefault="00471F9B" w:rsidP="00471F9B">
            <w:pPr>
              <w:spacing w:line="240" w:lineRule="auto"/>
              <w:contextualSpacing/>
              <w:jc w:val="both"/>
              <w:rPr>
                <w:rFonts w:ascii="Arial Narrow" w:hAnsi="Arial Narrow" w:cs="Arial"/>
                <w:sz w:val="20"/>
                <w:szCs w:val="20"/>
              </w:rPr>
            </w:pPr>
            <w:r w:rsidRPr="001E4E8E">
              <w:rPr>
                <w:rFonts w:ascii="Arial Narrow" w:hAnsi="Arial Narrow" w:cs="Arial"/>
                <w:sz w:val="20"/>
                <w:szCs w:val="20"/>
              </w:rPr>
              <w:t xml:space="preserve">- Develop the concept of the mobile legal clinic to also cover the rural areas lacking community-based paralegals; </w:t>
            </w:r>
          </w:p>
          <w:p w:rsidR="00471F9B" w:rsidRPr="001E4E8E" w:rsidRDefault="00471F9B" w:rsidP="00471F9B">
            <w:pPr>
              <w:spacing w:line="240" w:lineRule="auto"/>
              <w:contextualSpacing/>
              <w:jc w:val="both"/>
              <w:rPr>
                <w:rFonts w:ascii="Arial Narrow" w:hAnsi="Arial Narrow" w:cs="Arial"/>
                <w:sz w:val="20"/>
                <w:szCs w:val="20"/>
              </w:rPr>
            </w:pPr>
            <w:r w:rsidRPr="001E4E8E">
              <w:rPr>
                <w:rFonts w:ascii="Arial Narrow" w:hAnsi="Arial Narrow" w:cs="Arial"/>
                <w:sz w:val="20"/>
                <w:szCs w:val="20"/>
              </w:rPr>
              <w:t>- Set-up the paralegals back-up team to support and help community-based paralegals;</w:t>
            </w:r>
          </w:p>
          <w:p w:rsidR="00471F9B" w:rsidRPr="001E4E8E" w:rsidRDefault="00471F9B" w:rsidP="00471F9B">
            <w:pPr>
              <w:spacing w:line="240" w:lineRule="auto"/>
              <w:contextualSpacing/>
              <w:jc w:val="both"/>
              <w:rPr>
                <w:rFonts w:ascii="Arial Narrow" w:hAnsi="Arial Narrow" w:cs="Arial"/>
                <w:sz w:val="20"/>
                <w:szCs w:val="20"/>
              </w:rPr>
            </w:pPr>
            <w:r w:rsidRPr="001E4E8E">
              <w:rPr>
                <w:rFonts w:ascii="Arial Narrow" w:hAnsi="Arial Narrow" w:cs="Arial"/>
                <w:sz w:val="20"/>
                <w:szCs w:val="20"/>
              </w:rPr>
              <w:t xml:space="preserve">- Assess the legal empowerment needs of the younger generation and other vulnerable groups; </w:t>
            </w:r>
          </w:p>
          <w:p w:rsidR="00471F9B" w:rsidRPr="001E4E8E" w:rsidRDefault="00471F9B" w:rsidP="00471F9B">
            <w:pPr>
              <w:spacing w:line="240" w:lineRule="auto"/>
              <w:contextualSpacing/>
              <w:jc w:val="both"/>
              <w:rPr>
                <w:rFonts w:ascii="Arial Narrow" w:hAnsi="Arial Narrow" w:cs="Arial"/>
                <w:sz w:val="20"/>
                <w:szCs w:val="20"/>
              </w:rPr>
            </w:pPr>
            <w:r w:rsidRPr="001E4E8E">
              <w:rPr>
                <w:rFonts w:ascii="Arial Narrow" w:hAnsi="Arial Narrow" w:cs="Arial"/>
                <w:sz w:val="20"/>
                <w:szCs w:val="20"/>
              </w:rPr>
              <w:t xml:space="preserve">- Upgrade and adjust to current legal needs all training materials and the online legal aid platform; </w:t>
            </w:r>
          </w:p>
          <w:p w:rsidR="00471F9B" w:rsidRPr="001E4E8E" w:rsidRDefault="00471F9B" w:rsidP="00471F9B">
            <w:pPr>
              <w:spacing w:line="240" w:lineRule="auto"/>
              <w:contextualSpacing/>
              <w:jc w:val="both"/>
              <w:rPr>
                <w:rFonts w:ascii="Arial Narrow" w:hAnsi="Arial Narrow" w:cs="Arial"/>
                <w:sz w:val="20"/>
                <w:szCs w:val="20"/>
              </w:rPr>
            </w:pPr>
            <w:r w:rsidRPr="001E4E8E">
              <w:rPr>
                <w:rFonts w:ascii="Arial Narrow" w:hAnsi="Arial Narrow" w:cs="Arial"/>
                <w:sz w:val="20"/>
                <w:szCs w:val="20"/>
              </w:rPr>
              <w:t xml:space="preserve">- Identify and sensitize new potential sources of funding; </w:t>
            </w:r>
          </w:p>
          <w:p w:rsidR="00471F9B" w:rsidRPr="001E4E8E" w:rsidRDefault="00471F9B" w:rsidP="00471F9B">
            <w:pPr>
              <w:spacing w:line="240" w:lineRule="auto"/>
              <w:contextualSpacing/>
              <w:jc w:val="both"/>
              <w:rPr>
                <w:rFonts w:ascii="Arial Narrow" w:hAnsi="Arial Narrow" w:cs="Arial"/>
                <w:sz w:val="20"/>
                <w:szCs w:val="20"/>
              </w:rPr>
            </w:pPr>
            <w:r w:rsidRPr="001E4E8E">
              <w:rPr>
                <w:rFonts w:ascii="Arial Narrow" w:hAnsi="Arial Narrow" w:cs="Arial"/>
                <w:sz w:val="20"/>
                <w:szCs w:val="20"/>
              </w:rPr>
              <w:t xml:space="preserve">- Upgrade all paralegals’ knowledge and skills; </w:t>
            </w:r>
          </w:p>
          <w:p w:rsidR="00471F9B" w:rsidRPr="001E4E8E" w:rsidRDefault="00471F9B" w:rsidP="00471F9B">
            <w:pPr>
              <w:spacing w:line="240" w:lineRule="auto"/>
              <w:contextualSpacing/>
              <w:jc w:val="both"/>
              <w:rPr>
                <w:rFonts w:ascii="Arial Narrow" w:hAnsi="Arial Narrow" w:cs="Arial"/>
                <w:sz w:val="20"/>
                <w:szCs w:val="20"/>
              </w:rPr>
            </w:pPr>
            <w:r w:rsidRPr="001E4E8E">
              <w:rPr>
                <w:rFonts w:ascii="Arial Narrow" w:hAnsi="Arial Narrow" w:cs="Arial"/>
                <w:sz w:val="20"/>
                <w:szCs w:val="20"/>
              </w:rPr>
              <w:t xml:space="preserve">- Pilot new models of paralegals service delivery; </w:t>
            </w:r>
          </w:p>
          <w:p w:rsidR="00471F9B" w:rsidRDefault="00471F9B" w:rsidP="00471F9B">
            <w:pPr>
              <w:spacing w:line="240" w:lineRule="auto"/>
              <w:contextualSpacing/>
              <w:jc w:val="both"/>
              <w:rPr>
                <w:rFonts w:ascii="Arial Narrow" w:hAnsi="Arial Narrow" w:cs="Arial"/>
                <w:sz w:val="20"/>
                <w:szCs w:val="20"/>
              </w:rPr>
            </w:pPr>
            <w:r w:rsidRPr="001E4E8E">
              <w:rPr>
                <w:rFonts w:ascii="Arial Narrow" w:hAnsi="Arial Narrow" w:cs="Arial"/>
                <w:sz w:val="20"/>
                <w:szCs w:val="20"/>
              </w:rPr>
              <w:t xml:space="preserve">- Hold public lectures to local communities by paralegals and initiate community - development projects; </w:t>
            </w:r>
          </w:p>
          <w:p w:rsidR="00E9786D" w:rsidRDefault="00E9786D" w:rsidP="00471F9B">
            <w:pPr>
              <w:spacing w:line="240" w:lineRule="auto"/>
              <w:contextualSpacing/>
              <w:jc w:val="both"/>
              <w:rPr>
                <w:rFonts w:ascii="Arial Narrow" w:hAnsi="Arial Narrow" w:cs="Arial"/>
                <w:sz w:val="20"/>
                <w:szCs w:val="20"/>
              </w:rPr>
            </w:pPr>
            <w:r>
              <w:rPr>
                <w:rFonts w:ascii="Arial Narrow" w:hAnsi="Arial Narrow" w:cs="Arial"/>
                <w:sz w:val="20"/>
                <w:szCs w:val="20"/>
              </w:rPr>
              <w:t xml:space="preserve">- </w:t>
            </w:r>
            <w:r w:rsidRPr="00E9786D">
              <w:rPr>
                <w:rFonts w:ascii="Arial Narrow" w:hAnsi="Arial Narrow" w:cs="Arial"/>
                <w:sz w:val="20"/>
                <w:szCs w:val="20"/>
              </w:rPr>
              <w:t>Leadership course – send 5 para</w:t>
            </w:r>
            <w:r>
              <w:rPr>
                <w:rFonts w:ascii="Arial Narrow" w:hAnsi="Arial Narrow" w:cs="Arial"/>
                <w:sz w:val="20"/>
                <w:szCs w:val="20"/>
              </w:rPr>
              <w:t>legals to the leadership course;</w:t>
            </w:r>
          </w:p>
          <w:p w:rsidR="00E9786D" w:rsidRPr="001E4E8E" w:rsidRDefault="00E9786D" w:rsidP="00471F9B">
            <w:pPr>
              <w:spacing w:line="240" w:lineRule="auto"/>
              <w:contextualSpacing/>
              <w:jc w:val="both"/>
              <w:rPr>
                <w:rFonts w:ascii="Arial Narrow" w:hAnsi="Arial Narrow" w:cs="Arial"/>
                <w:sz w:val="20"/>
                <w:szCs w:val="20"/>
              </w:rPr>
            </w:pPr>
            <w:r>
              <w:rPr>
                <w:rFonts w:ascii="Arial Narrow" w:hAnsi="Arial Narrow" w:cs="Arial"/>
                <w:sz w:val="20"/>
                <w:szCs w:val="20"/>
              </w:rPr>
              <w:t>- Exchange visits for paralegals, experts, and lawyers;</w:t>
            </w:r>
          </w:p>
          <w:p w:rsidR="00471F9B" w:rsidRPr="001E4E8E" w:rsidRDefault="00471F9B" w:rsidP="00471F9B">
            <w:pPr>
              <w:spacing w:line="240" w:lineRule="auto"/>
              <w:contextualSpacing/>
              <w:jc w:val="both"/>
              <w:rPr>
                <w:rFonts w:ascii="Arial Narrow" w:hAnsi="Arial Narrow" w:cs="Arial"/>
                <w:sz w:val="20"/>
                <w:szCs w:val="20"/>
              </w:rPr>
            </w:pPr>
            <w:r w:rsidRPr="001E4E8E">
              <w:rPr>
                <w:rFonts w:ascii="Arial Narrow" w:hAnsi="Arial Narrow" w:cs="Arial"/>
                <w:sz w:val="20"/>
                <w:szCs w:val="20"/>
              </w:rPr>
              <w:t xml:space="preserve">- Develop the policy paper on paralegal institutionalization; </w:t>
            </w:r>
          </w:p>
          <w:p w:rsidR="00471F9B" w:rsidRPr="001E4E8E" w:rsidRDefault="00471F9B" w:rsidP="00471F9B">
            <w:pPr>
              <w:spacing w:line="240" w:lineRule="auto"/>
              <w:contextualSpacing/>
              <w:jc w:val="both"/>
              <w:rPr>
                <w:rFonts w:ascii="Arial Narrow" w:hAnsi="Arial Narrow" w:cs="Arial"/>
                <w:sz w:val="20"/>
                <w:szCs w:val="20"/>
              </w:rPr>
            </w:pPr>
            <w:r w:rsidRPr="001E4E8E">
              <w:rPr>
                <w:rFonts w:ascii="Arial Narrow" w:hAnsi="Arial Narrow" w:cs="Arial"/>
                <w:sz w:val="20"/>
                <w:szCs w:val="20"/>
              </w:rPr>
              <w:t>- Develop the Strategy and the action plan of Paralegal Association.</w:t>
            </w:r>
          </w:p>
          <w:p w:rsidR="003830A8" w:rsidRPr="001E4E8E" w:rsidRDefault="00471F9B" w:rsidP="00471F9B">
            <w:pPr>
              <w:spacing w:after="0" w:line="240" w:lineRule="auto"/>
              <w:rPr>
                <w:rFonts w:ascii="Calibri" w:hAnsi="Calibri"/>
                <w:color w:val="262626"/>
                <w:sz w:val="20"/>
                <w:szCs w:val="20"/>
                <w:lang w:val="pt-BR"/>
              </w:rPr>
            </w:pPr>
            <w:r w:rsidRPr="001E4E8E">
              <w:rPr>
                <w:rFonts w:ascii="Arial Narrow" w:hAnsi="Arial Narrow" w:cs="Arial"/>
                <w:sz w:val="20"/>
                <w:szCs w:val="20"/>
              </w:rPr>
              <w:t>- Deliver primary legal aid and empowerment to vulnerable people.</w:t>
            </w:r>
          </w:p>
        </w:tc>
      </w:tr>
      <w:tr w:rsidR="003830A8" w:rsidRPr="001E4E8E"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r w:rsidRPr="001E4E8E">
              <w:rPr>
                <w:b/>
                <w:bCs/>
                <w:color w:val="262626"/>
                <w:sz w:val="20"/>
                <w:szCs w:val="20"/>
              </w:rPr>
              <w:t>Summary for Board Reports (100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1E4E8E" w:rsidRDefault="00962DBF" w:rsidP="002E23E3">
            <w:pPr>
              <w:spacing w:after="0" w:line="240" w:lineRule="auto"/>
              <w:jc w:val="both"/>
              <w:rPr>
                <w:rFonts w:ascii="Calibri" w:hAnsi="Calibri"/>
                <w:sz w:val="20"/>
                <w:szCs w:val="20"/>
              </w:rPr>
            </w:pPr>
            <w:r w:rsidRPr="001E4E8E">
              <w:rPr>
                <w:rFonts w:ascii="Arial Narrow" w:eastAsia="Times New Roman" w:hAnsi="Arial Narrow"/>
                <w:bCs/>
                <w:sz w:val="20"/>
                <w:szCs w:val="20"/>
                <w:lang w:eastAsia="ro-RO"/>
              </w:rPr>
              <w:t xml:space="preserve">During 2016, SFM is planning firstly to assess the legal needs of the youth and then to update all the training materials and the Internet platform according to the assessment’s results. </w:t>
            </w:r>
            <w:r w:rsidR="001E4E8E" w:rsidRPr="001E4E8E">
              <w:rPr>
                <w:rFonts w:ascii="Arial Narrow" w:eastAsia="Times New Roman" w:hAnsi="Arial Narrow"/>
                <w:bCs/>
                <w:sz w:val="20"/>
                <w:szCs w:val="20"/>
                <w:lang w:eastAsia="ro-RO"/>
              </w:rPr>
              <w:t>I</w:t>
            </w:r>
            <w:r w:rsidRPr="001E4E8E">
              <w:rPr>
                <w:rFonts w:ascii="Arial Narrow" w:eastAsia="Times New Roman" w:hAnsi="Arial Narrow"/>
                <w:bCs/>
                <w:sz w:val="20"/>
                <w:szCs w:val="20"/>
                <w:lang w:eastAsia="ro-RO"/>
              </w:rPr>
              <w:t xml:space="preserve">n cooperation with NLAC, we aim to increase the number of paralegals up to 42, of which 10 paralegals will be specialized in delivering special legal aid to vulnerable groups. Community paralegals will be supported by a team of hand-picked lawyers and a mobile legal clinic. </w:t>
            </w:r>
            <w:r w:rsidR="001E4E8E" w:rsidRPr="001E4E8E">
              <w:rPr>
                <w:rFonts w:ascii="Arial Narrow" w:eastAsia="Times New Roman" w:hAnsi="Arial Narrow"/>
                <w:bCs/>
                <w:sz w:val="20"/>
                <w:szCs w:val="20"/>
                <w:lang w:eastAsia="ro-RO"/>
              </w:rPr>
              <w:t>Afterwards</w:t>
            </w:r>
            <w:r w:rsidRPr="001E4E8E">
              <w:rPr>
                <w:rFonts w:ascii="Arial Narrow" w:eastAsia="Times New Roman" w:hAnsi="Arial Narrow"/>
                <w:bCs/>
                <w:sz w:val="20"/>
                <w:szCs w:val="20"/>
                <w:lang w:eastAsia="ro-RO"/>
              </w:rPr>
              <w:t xml:space="preserve">, </w:t>
            </w:r>
            <w:r w:rsidR="0003720A" w:rsidRPr="001E4E8E">
              <w:rPr>
                <w:rFonts w:ascii="Arial Narrow" w:eastAsia="Times New Roman" w:hAnsi="Arial Narrow"/>
                <w:bCs/>
                <w:sz w:val="20"/>
                <w:szCs w:val="20"/>
                <w:lang w:eastAsia="ro-RO"/>
              </w:rPr>
              <w:t xml:space="preserve">our </w:t>
            </w:r>
            <w:r w:rsidRPr="001E4E8E">
              <w:rPr>
                <w:rFonts w:ascii="Arial Narrow" w:eastAsia="Times New Roman" w:hAnsi="Arial Narrow"/>
                <w:bCs/>
                <w:sz w:val="20"/>
                <w:szCs w:val="20"/>
                <w:lang w:eastAsia="ro-RO"/>
              </w:rPr>
              <w:t xml:space="preserve">efforts will be oriented towards developing a Paralegal Association and institutionalization of paralegal profession. In the first year, we plan to share in the Shared Framework our knowledge on </w:t>
            </w:r>
            <w:r w:rsidR="001E4E8E" w:rsidRPr="001E4E8E">
              <w:rPr>
                <w:rFonts w:ascii="Arial Narrow" w:eastAsia="Times New Roman" w:hAnsi="Arial Narrow"/>
                <w:bCs/>
                <w:sz w:val="20"/>
                <w:szCs w:val="20"/>
                <w:lang w:eastAsia="ro-RO"/>
              </w:rPr>
              <w:t>evaluating the</w:t>
            </w:r>
            <w:r w:rsidRPr="001E4E8E">
              <w:rPr>
                <w:rFonts w:ascii="Arial Narrow" w:eastAsia="Times New Roman" w:hAnsi="Arial Narrow"/>
                <w:bCs/>
                <w:sz w:val="20"/>
                <w:szCs w:val="20"/>
                <w:lang w:eastAsia="ro-RO"/>
              </w:rPr>
              <w:t xml:space="preserve"> legal needs and </w:t>
            </w:r>
            <w:r w:rsidR="001E4E8E" w:rsidRPr="001E4E8E">
              <w:rPr>
                <w:rFonts w:ascii="Arial Narrow" w:eastAsia="Times New Roman" w:hAnsi="Arial Narrow"/>
                <w:bCs/>
                <w:sz w:val="20"/>
                <w:szCs w:val="20"/>
                <w:lang w:eastAsia="ro-RO"/>
              </w:rPr>
              <w:t xml:space="preserve">the legislation on </w:t>
            </w:r>
            <w:r w:rsidRPr="001E4E8E">
              <w:rPr>
                <w:rFonts w:ascii="Arial Narrow" w:eastAsia="Times New Roman" w:hAnsi="Arial Narrow"/>
                <w:bCs/>
                <w:sz w:val="20"/>
                <w:szCs w:val="20"/>
                <w:lang w:eastAsia="ro-RO"/>
              </w:rPr>
              <w:t>primary legal aid.</w:t>
            </w:r>
          </w:p>
        </w:tc>
      </w:tr>
      <w:tr w:rsidR="003830A8" w:rsidRPr="001E4E8E"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r w:rsidRPr="001E4E8E">
              <w:rPr>
                <w:b/>
                <w:bCs/>
                <w:color w:val="262626"/>
                <w:sz w:val="20"/>
                <w:szCs w:val="20"/>
              </w:rPr>
              <w:t>Collaborating Programs within OSF and essential partners or grantees</w:t>
            </w:r>
          </w:p>
        </w:tc>
        <w:tc>
          <w:tcPr>
            <w:tcW w:w="7148" w:type="dxa"/>
            <w:gridSpan w:val="3"/>
            <w:tcBorders>
              <w:bottom w:val="single" w:sz="8" w:space="0" w:color="auto"/>
            </w:tcBorders>
            <w:shd w:val="clear" w:color="auto" w:fill="auto"/>
            <w:tcMar>
              <w:top w:w="0" w:type="dxa"/>
              <w:left w:w="108" w:type="dxa"/>
              <w:bottom w:w="0" w:type="dxa"/>
              <w:right w:w="108" w:type="dxa"/>
            </w:tcMar>
          </w:tcPr>
          <w:p w:rsidR="00471F9B" w:rsidRPr="001E4E8E" w:rsidRDefault="00471F9B" w:rsidP="00471F9B">
            <w:pPr>
              <w:spacing w:after="0" w:line="240" w:lineRule="auto"/>
              <w:rPr>
                <w:rFonts w:ascii="Arial Narrow" w:hAnsi="Arial Narrow"/>
                <w:sz w:val="20"/>
                <w:szCs w:val="20"/>
              </w:rPr>
            </w:pPr>
            <w:r w:rsidRPr="001E4E8E">
              <w:rPr>
                <w:rFonts w:ascii="Arial Narrow" w:hAnsi="Arial Narrow"/>
                <w:sz w:val="20"/>
                <w:szCs w:val="20"/>
              </w:rPr>
              <w:t>a. OSF – shared framework participating units; OSJI, HRI, other thematic programs;</w:t>
            </w:r>
          </w:p>
          <w:p w:rsidR="00471F9B" w:rsidRPr="001E4E8E" w:rsidRDefault="00471F9B" w:rsidP="00471F9B">
            <w:pPr>
              <w:spacing w:after="0" w:line="240" w:lineRule="auto"/>
              <w:rPr>
                <w:rFonts w:ascii="Arial Narrow" w:hAnsi="Arial Narrow"/>
                <w:sz w:val="20"/>
                <w:szCs w:val="20"/>
              </w:rPr>
            </w:pPr>
            <w:r w:rsidRPr="001E4E8E">
              <w:rPr>
                <w:rFonts w:ascii="Arial Narrow" w:hAnsi="Arial Narrow"/>
                <w:sz w:val="20"/>
                <w:szCs w:val="20"/>
              </w:rPr>
              <w:t xml:space="preserve">b. Non-OSF partners - Ministry of Justice, Ministry of Education, Ministry of Finance, National Legal Aid Council, Legal Commission of the Parliament, Local Public Administrations, CSOs, </w:t>
            </w:r>
            <w:r w:rsidRPr="001E4E8E">
              <w:rPr>
                <w:rFonts w:ascii="Arial Narrow" w:hAnsi="Arial Narrow"/>
                <w:sz w:val="20"/>
                <w:szCs w:val="20"/>
              </w:rPr>
              <w:lastRenderedPageBreak/>
              <w:t>Academia, donor community present on Moldova</w:t>
            </w:r>
          </w:p>
          <w:p w:rsidR="003830A8" w:rsidRPr="001E4E8E" w:rsidRDefault="00471F9B" w:rsidP="000E1739">
            <w:pPr>
              <w:spacing w:after="0" w:line="240" w:lineRule="auto"/>
              <w:rPr>
                <w:rFonts w:ascii="Calibri" w:hAnsi="Calibri"/>
                <w:sz w:val="20"/>
                <w:szCs w:val="20"/>
              </w:rPr>
            </w:pPr>
            <w:r w:rsidRPr="001E4E8E">
              <w:rPr>
                <w:rFonts w:ascii="Arial Narrow" w:hAnsi="Arial Narrow"/>
                <w:sz w:val="20"/>
                <w:szCs w:val="20"/>
              </w:rPr>
              <w:t xml:space="preserve">c. Non-OSF funding sources – </w:t>
            </w:r>
            <w:r w:rsidR="000E1739" w:rsidRPr="001E4E8E">
              <w:rPr>
                <w:rFonts w:ascii="Arial Narrow" w:hAnsi="Arial Narrow"/>
                <w:sz w:val="20"/>
                <w:szCs w:val="20"/>
              </w:rPr>
              <w:t xml:space="preserve">Moldovan Government </w:t>
            </w:r>
          </w:p>
        </w:tc>
      </w:tr>
      <w:tr w:rsidR="003830A8" w:rsidRPr="001E4E8E"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r w:rsidRPr="001E4E8E">
              <w:rPr>
                <w:b/>
                <w:bCs/>
                <w:color w:val="262626"/>
                <w:sz w:val="20"/>
                <w:szCs w:val="20"/>
              </w:rPr>
              <w:lastRenderedPageBreak/>
              <w:t>Contributions expected from Collaborating Programs (250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471F9B" w:rsidRPr="001E4E8E" w:rsidRDefault="00471F9B" w:rsidP="00471F9B">
            <w:pPr>
              <w:spacing w:after="0" w:line="240" w:lineRule="auto"/>
              <w:jc w:val="both"/>
              <w:rPr>
                <w:rFonts w:ascii="Arial Narrow" w:eastAsia="Times New Roman" w:hAnsi="Arial Narrow" w:cs="Times New Roman"/>
                <w:sz w:val="20"/>
                <w:szCs w:val="20"/>
              </w:rPr>
            </w:pPr>
            <w:r w:rsidRPr="001E4E8E">
              <w:rPr>
                <w:rFonts w:ascii="Arial Narrow" w:hAnsi="Arial Narrow" w:cs="Arial"/>
                <w:sz w:val="20"/>
                <w:szCs w:val="20"/>
              </w:rPr>
              <w:t>a. SFM</w:t>
            </w:r>
            <w:r w:rsidRPr="001E4E8E">
              <w:rPr>
                <w:rFonts w:ascii="Arial Narrow" w:hAnsi="Arial Narrow"/>
                <w:sz w:val="20"/>
                <w:szCs w:val="20"/>
              </w:rPr>
              <w:t xml:space="preserve"> </w:t>
            </w:r>
            <w:r w:rsidRPr="001E4E8E">
              <w:rPr>
                <w:rFonts w:ascii="Arial Narrow" w:eastAsia="Times New Roman" w:hAnsi="Arial Narrow" w:cs="Times New Roman"/>
                <w:sz w:val="20"/>
                <w:szCs w:val="20"/>
              </w:rPr>
              <w:t xml:space="preserve">would be eager to get assistance from OSF units on developing technical solutions (ex. mobile application) for legal aid services to reach the remote areas, get knowledge on institutionalization, financing and methods of involvement of local public authorities in the legal empowerment process. </w:t>
            </w:r>
            <w:r w:rsidR="000E1739" w:rsidRPr="001E4E8E">
              <w:rPr>
                <w:rFonts w:ascii="Arial Narrow" w:eastAsia="Times New Roman" w:hAnsi="Arial Narrow" w:cs="Times New Roman"/>
                <w:sz w:val="20"/>
                <w:szCs w:val="20"/>
              </w:rPr>
              <w:t xml:space="preserve">We expect the OSJI to guide the research processes related to this Shared Framework. </w:t>
            </w:r>
          </w:p>
          <w:p w:rsidR="00471F9B" w:rsidRPr="001E4E8E" w:rsidRDefault="00471F9B" w:rsidP="00471F9B">
            <w:pPr>
              <w:spacing w:after="0" w:line="240" w:lineRule="auto"/>
              <w:jc w:val="both"/>
              <w:rPr>
                <w:rFonts w:ascii="Arial Narrow" w:hAnsi="Arial Narrow" w:cs="Arial"/>
                <w:sz w:val="20"/>
                <w:szCs w:val="20"/>
              </w:rPr>
            </w:pPr>
            <w:r w:rsidRPr="001E4E8E">
              <w:rPr>
                <w:rFonts w:ascii="Arial Narrow" w:hAnsi="Arial Narrow" w:cs="Arial"/>
                <w:sz w:val="20"/>
                <w:szCs w:val="20"/>
              </w:rPr>
              <w:t>b. The SFM will share Moldova's experience of paralegal recognition in the law, its knowledge on developing the training materials and the Internet Platform for paralegals, the methodology and results of the legal needs assessment, by-laws on paralegals activity, the concept and modus operandi of the mobile legal clinic, and modus operandi and successful cases of the paralegals back-up team. The sharing can be done by either briefings uploaded on a dedicated internet platform or exchange visits and expert meetings.</w:t>
            </w:r>
          </w:p>
          <w:p w:rsidR="003830A8" w:rsidRPr="001E4E8E" w:rsidRDefault="00471F9B" w:rsidP="00471F9B">
            <w:pPr>
              <w:spacing w:after="0" w:line="240" w:lineRule="auto"/>
              <w:rPr>
                <w:rFonts w:ascii="Calibri" w:hAnsi="Calibri"/>
                <w:sz w:val="20"/>
                <w:szCs w:val="20"/>
              </w:rPr>
            </w:pPr>
            <w:r w:rsidRPr="001E4E8E">
              <w:rPr>
                <w:rFonts w:ascii="Arial Narrow" w:hAnsi="Arial Narrow" w:cs="Arial"/>
                <w:sz w:val="20"/>
                <w:szCs w:val="20"/>
              </w:rPr>
              <w:t xml:space="preserve">c. We think that </w:t>
            </w:r>
            <w:r w:rsidRPr="001E4E8E">
              <w:rPr>
                <w:rFonts w:ascii="Arial Narrow" w:eastAsia="Times New Roman" w:hAnsi="Arial Narrow" w:cs="Times New Roman"/>
                <w:sz w:val="20"/>
                <w:szCs w:val="20"/>
              </w:rPr>
              <w:t>it will be useful to work jointly with other OSF units in developing the concept and content of the leadership course for paralegals. We are very interested in organizing sharing events on developing/piloting technological solutions for legal aid services. Sharing capacity building methods and resources for paralegals and other justice service providers by organizing study visits for paralegals, lawyers, and experts in partner countries will contribute both the visiting and the receiving countries.</w:t>
            </w:r>
          </w:p>
        </w:tc>
      </w:tr>
      <w:tr w:rsidR="003830A8" w:rsidRPr="001E4E8E"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r w:rsidRPr="001E4E8E">
              <w:rPr>
                <w:b/>
                <w:bCs/>
                <w:color w:val="262626"/>
                <w:sz w:val="20"/>
                <w:szCs w:val="20"/>
              </w:rPr>
              <w:t>Statement of who within OSF would guide the work</w:t>
            </w:r>
          </w:p>
        </w:tc>
        <w:tc>
          <w:tcPr>
            <w:tcW w:w="7148" w:type="dxa"/>
            <w:gridSpan w:val="3"/>
            <w:tcBorders>
              <w:bottom w:val="single" w:sz="8" w:space="0" w:color="auto"/>
            </w:tcBorders>
            <w:shd w:val="clear" w:color="auto" w:fill="auto"/>
            <w:tcMar>
              <w:top w:w="0" w:type="dxa"/>
              <w:left w:w="108" w:type="dxa"/>
              <w:bottom w:w="0" w:type="dxa"/>
              <w:right w:w="108" w:type="dxa"/>
            </w:tcMar>
          </w:tcPr>
          <w:p w:rsidR="00AD7A42" w:rsidRPr="001E4E8E" w:rsidRDefault="00AD7A42" w:rsidP="00471F9B">
            <w:pPr>
              <w:spacing w:after="0" w:line="240" w:lineRule="auto"/>
              <w:rPr>
                <w:rFonts w:ascii="Arial Narrow" w:eastAsia="Times New Roman" w:hAnsi="Arial Narrow" w:cs="Courier New"/>
                <w:b/>
                <w:sz w:val="20"/>
                <w:szCs w:val="20"/>
              </w:rPr>
            </w:pPr>
            <w:r w:rsidRPr="001E4E8E">
              <w:rPr>
                <w:rFonts w:ascii="Arial Narrow" w:eastAsia="Times New Roman" w:hAnsi="Arial Narrow" w:cs="Courier New"/>
                <w:b/>
                <w:sz w:val="20"/>
                <w:szCs w:val="20"/>
              </w:rPr>
              <w:t>Soros Foundation-Moldova</w:t>
            </w:r>
          </w:p>
          <w:p w:rsidR="00A47B70" w:rsidRPr="001E4E8E" w:rsidRDefault="00A47B70" w:rsidP="00471F9B">
            <w:pPr>
              <w:spacing w:after="0" w:line="240" w:lineRule="auto"/>
              <w:rPr>
                <w:rFonts w:ascii="Arial Narrow" w:eastAsia="Times New Roman" w:hAnsi="Arial Narrow" w:cs="Courier New"/>
                <w:sz w:val="20"/>
                <w:szCs w:val="20"/>
              </w:rPr>
            </w:pPr>
            <w:r w:rsidRPr="001E4E8E">
              <w:rPr>
                <w:rFonts w:ascii="Arial Narrow" w:eastAsia="Times New Roman" w:hAnsi="Arial Narrow" w:cs="Courier New"/>
                <w:b/>
                <w:sz w:val="20"/>
                <w:szCs w:val="20"/>
              </w:rPr>
              <w:t>Victor Munteanu</w:t>
            </w:r>
            <w:r w:rsidRPr="001E4E8E">
              <w:rPr>
                <w:rFonts w:ascii="Arial Narrow" w:eastAsia="Times New Roman" w:hAnsi="Arial Narrow" w:cs="Courier New"/>
                <w:sz w:val="20"/>
                <w:szCs w:val="20"/>
              </w:rPr>
              <w:t xml:space="preserve">, Justice Program Director, </w:t>
            </w:r>
            <w:r w:rsidR="00AD7A42" w:rsidRPr="001E4E8E">
              <w:rPr>
                <w:rFonts w:ascii="Arial Narrow" w:eastAsia="Times New Roman" w:hAnsi="Arial Narrow" w:cs="Courier New"/>
                <w:sz w:val="20"/>
                <w:szCs w:val="20"/>
              </w:rPr>
              <w:t>vmunteanu@soros.md</w:t>
            </w:r>
          </w:p>
          <w:p w:rsidR="0043358D" w:rsidRPr="001E4E8E" w:rsidRDefault="0043358D" w:rsidP="00471F9B">
            <w:pPr>
              <w:spacing w:after="0" w:line="240" w:lineRule="auto"/>
              <w:rPr>
                <w:rFonts w:ascii="Arial Narrow" w:eastAsia="Times New Roman" w:hAnsi="Arial Narrow" w:cs="Courier New"/>
                <w:sz w:val="20"/>
                <w:szCs w:val="20"/>
              </w:rPr>
            </w:pPr>
            <w:r w:rsidRPr="001E4E8E">
              <w:rPr>
                <w:rFonts w:ascii="Arial Narrow" w:eastAsia="Times New Roman" w:hAnsi="Arial Narrow" w:cs="Courier New"/>
                <w:b/>
                <w:sz w:val="20"/>
                <w:szCs w:val="20"/>
              </w:rPr>
              <w:t xml:space="preserve">Elena </w:t>
            </w:r>
            <w:proofErr w:type="spellStart"/>
            <w:r w:rsidRPr="001E4E8E">
              <w:rPr>
                <w:rFonts w:ascii="Arial Narrow" w:eastAsia="Times New Roman" w:hAnsi="Arial Narrow" w:cs="Courier New"/>
                <w:b/>
                <w:sz w:val="20"/>
                <w:szCs w:val="20"/>
              </w:rPr>
              <w:t>Vacarciuc</w:t>
            </w:r>
            <w:proofErr w:type="spellEnd"/>
            <w:r w:rsidRPr="001E4E8E">
              <w:rPr>
                <w:rFonts w:ascii="Arial Narrow" w:eastAsia="Times New Roman" w:hAnsi="Arial Narrow" w:cs="Courier New"/>
                <w:sz w:val="20"/>
                <w:szCs w:val="20"/>
              </w:rPr>
              <w:t xml:space="preserve">, Finance Director, </w:t>
            </w:r>
            <w:r w:rsidR="00AD7A42" w:rsidRPr="001E4E8E">
              <w:rPr>
                <w:rFonts w:ascii="Arial Narrow" w:eastAsia="Times New Roman" w:hAnsi="Arial Narrow" w:cs="Courier New"/>
                <w:sz w:val="20"/>
                <w:szCs w:val="20"/>
              </w:rPr>
              <w:t>evacarciuc@soros.md</w:t>
            </w:r>
          </w:p>
          <w:p w:rsidR="00A47B70" w:rsidRPr="001E4E8E" w:rsidRDefault="00A47B70" w:rsidP="00471F9B">
            <w:pPr>
              <w:spacing w:after="0" w:line="240" w:lineRule="auto"/>
              <w:rPr>
                <w:rFonts w:ascii="Arial Narrow" w:eastAsia="Times New Roman" w:hAnsi="Arial Narrow" w:cs="Courier New"/>
                <w:sz w:val="20"/>
                <w:szCs w:val="20"/>
              </w:rPr>
            </w:pPr>
            <w:r w:rsidRPr="001E4E8E">
              <w:rPr>
                <w:rFonts w:ascii="Arial Narrow" w:eastAsia="Times New Roman" w:hAnsi="Arial Narrow" w:cs="Courier New"/>
                <w:b/>
                <w:sz w:val="20"/>
                <w:szCs w:val="20"/>
              </w:rPr>
              <w:t>Marcel Varmari,</w:t>
            </w:r>
            <w:r w:rsidRPr="001E4E8E">
              <w:rPr>
                <w:rFonts w:ascii="Arial Narrow" w:eastAsia="Times New Roman" w:hAnsi="Arial Narrow" w:cs="Courier New"/>
                <w:sz w:val="20"/>
                <w:szCs w:val="20"/>
              </w:rPr>
              <w:t xml:space="preserve"> Justice Program &amp; Finance Manager, </w:t>
            </w:r>
            <w:r w:rsidR="00AD7A42" w:rsidRPr="001E4E8E">
              <w:rPr>
                <w:rFonts w:ascii="Arial Narrow" w:eastAsia="Times New Roman" w:hAnsi="Arial Narrow" w:cs="Courier New"/>
                <w:sz w:val="20"/>
                <w:szCs w:val="20"/>
              </w:rPr>
              <w:t>mvarmari@soros.md</w:t>
            </w:r>
          </w:p>
          <w:p w:rsidR="003830A8" w:rsidRPr="001E4E8E" w:rsidRDefault="00A47B70" w:rsidP="00AD7A42">
            <w:pPr>
              <w:spacing w:after="0" w:line="240" w:lineRule="auto"/>
              <w:rPr>
                <w:rFonts w:ascii="Arial Narrow" w:eastAsia="Times New Roman" w:hAnsi="Arial Narrow" w:cs="Courier New"/>
                <w:sz w:val="20"/>
                <w:szCs w:val="20"/>
              </w:rPr>
            </w:pPr>
            <w:proofErr w:type="spellStart"/>
            <w:r w:rsidRPr="001E4E8E">
              <w:rPr>
                <w:rFonts w:ascii="Arial Narrow" w:eastAsia="Times New Roman" w:hAnsi="Arial Narrow" w:cs="Courier New"/>
                <w:b/>
                <w:sz w:val="20"/>
                <w:szCs w:val="20"/>
              </w:rPr>
              <w:t>Viorica</w:t>
            </w:r>
            <w:proofErr w:type="spellEnd"/>
            <w:r w:rsidRPr="001E4E8E">
              <w:rPr>
                <w:rFonts w:ascii="Arial Narrow" w:eastAsia="Times New Roman" w:hAnsi="Arial Narrow" w:cs="Courier New"/>
                <w:b/>
                <w:sz w:val="20"/>
                <w:szCs w:val="20"/>
              </w:rPr>
              <w:t xml:space="preserve"> </w:t>
            </w:r>
            <w:proofErr w:type="spellStart"/>
            <w:r w:rsidRPr="001E4E8E">
              <w:rPr>
                <w:rFonts w:ascii="Arial Narrow" w:eastAsia="Times New Roman" w:hAnsi="Arial Narrow" w:cs="Courier New"/>
                <w:b/>
                <w:sz w:val="20"/>
                <w:szCs w:val="20"/>
              </w:rPr>
              <w:t>Palama</w:t>
            </w:r>
            <w:r w:rsidR="0043358D" w:rsidRPr="001E4E8E">
              <w:rPr>
                <w:rFonts w:ascii="Arial Narrow" w:eastAsia="Times New Roman" w:hAnsi="Arial Narrow" w:cs="Courier New"/>
                <w:b/>
                <w:sz w:val="20"/>
                <w:szCs w:val="20"/>
              </w:rPr>
              <w:t>rciuc</w:t>
            </w:r>
            <w:proofErr w:type="spellEnd"/>
            <w:r w:rsidR="0043358D" w:rsidRPr="001E4E8E">
              <w:rPr>
                <w:rFonts w:ascii="Arial Narrow" w:eastAsia="Times New Roman" w:hAnsi="Arial Narrow" w:cs="Courier New"/>
                <w:sz w:val="20"/>
                <w:szCs w:val="20"/>
              </w:rPr>
              <w:t xml:space="preserve">, Justice Program </w:t>
            </w:r>
            <w:r w:rsidRPr="001E4E8E">
              <w:rPr>
                <w:rFonts w:ascii="Arial Narrow" w:eastAsia="Times New Roman" w:hAnsi="Arial Narrow" w:cs="Courier New"/>
                <w:sz w:val="20"/>
                <w:szCs w:val="20"/>
              </w:rPr>
              <w:t>Assistant</w:t>
            </w:r>
            <w:r w:rsidR="0043358D" w:rsidRPr="001E4E8E">
              <w:rPr>
                <w:rFonts w:ascii="Arial Narrow" w:eastAsia="Times New Roman" w:hAnsi="Arial Narrow" w:cs="Courier New"/>
                <w:sz w:val="20"/>
                <w:szCs w:val="20"/>
              </w:rPr>
              <w:t xml:space="preserve"> &amp; Coordinator</w:t>
            </w:r>
            <w:r w:rsidRPr="001E4E8E">
              <w:rPr>
                <w:rFonts w:ascii="Arial Narrow" w:eastAsia="Times New Roman" w:hAnsi="Arial Narrow" w:cs="Courier New"/>
                <w:sz w:val="20"/>
                <w:szCs w:val="20"/>
              </w:rPr>
              <w:t xml:space="preserve">, </w:t>
            </w:r>
            <w:r w:rsidR="00AD7A42" w:rsidRPr="001E4E8E">
              <w:rPr>
                <w:rFonts w:ascii="Arial Narrow" w:eastAsia="Times New Roman" w:hAnsi="Arial Narrow" w:cs="Courier New"/>
                <w:sz w:val="20"/>
                <w:szCs w:val="20"/>
              </w:rPr>
              <w:t>vpalamarciuc@soros.md</w:t>
            </w:r>
          </w:p>
        </w:tc>
      </w:tr>
      <w:tr w:rsidR="003830A8" w:rsidRPr="001E4E8E" w:rsidTr="003830A8">
        <w:trPr>
          <w:trHeight w:val="169"/>
        </w:trPr>
        <w:tc>
          <w:tcPr>
            <w:tcW w:w="2448" w:type="dxa"/>
            <w:tcBorders>
              <w:left w:val="nil"/>
              <w:right w:val="nil"/>
            </w:tcBorders>
            <w:shd w:val="clear" w:color="auto" w:fill="auto"/>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p>
        </w:tc>
        <w:tc>
          <w:tcPr>
            <w:tcW w:w="7148" w:type="dxa"/>
            <w:gridSpan w:val="3"/>
            <w:tcBorders>
              <w:left w:val="nil"/>
              <w:right w:val="nil"/>
            </w:tcBorders>
            <w:shd w:val="clear" w:color="auto" w:fill="auto"/>
            <w:tcMar>
              <w:top w:w="0" w:type="dxa"/>
              <w:left w:w="108" w:type="dxa"/>
              <w:bottom w:w="0" w:type="dxa"/>
              <w:right w:w="108" w:type="dxa"/>
            </w:tcMar>
          </w:tcPr>
          <w:p w:rsidR="003830A8" w:rsidRPr="001E4E8E" w:rsidRDefault="003830A8" w:rsidP="00471F9B">
            <w:pPr>
              <w:spacing w:after="0" w:line="240" w:lineRule="auto"/>
              <w:rPr>
                <w:rFonts w:ascii="Calibri" w:hAnsi="Calibri"/>
                <w:sz w:val="20"/>
                <w:szCs w:val="20"/>
              </w:rPr>
            </w:pPr>
          </w:p>
        </w:tc>
      </w:tr>
      <w:tr w:rsidR="003830A8" w:rsidRPr="001E4E8E" w:rsidTr="003830A8">
        <w:trPr>
          <w:trHeight w:val="229"/>
        </w:trPr>
        <w:tc>
          <w:tcPr>
            <w:tcW w:w="2448" w:type="dxa"/>
            <w:vMerge w:val="restart"/>
            <w:shd w:val="clear" w:color="auto" w:fill="auto"/>
            <w:tcMar>
              <w:top w:w="0" w:type="dxa"/>
              <w:left w:w="108" w:type="dxa"/>
              <w:bottom w:w="0" w:type="dxa"/>
              <w:right w:w="108" w:type="dxa"/>
            </w:tcMar>
            <w:hideMark/>
          </w:tcPr>
          <w:p w:rsidR="003830A8" w:rsidRPr="001E4E8E" w:rsidRDefault="003830A8" w:rsidP="00471F9B">
            <w:pPr>
              <w:spacing w:after="0" w:line="240" w:lineRule="auto"/>
              <w:rPr>
                <w:b/>
                <w:bCs/>
                <w:color w:val="262626"/>
                <w:sz w:val="20"/>
                <w:szCs w:val="20"/>
              </w:rPr>
            </w:pPr>
            <w:r w:rsidRPr="001E4E8E">
              <w:rPr>
                <w:b/>
                <w:bCs/>
                <w:color w:val="262626"/>
                <w:sz w:val="20"/>
                <w:szCs w:val="20"/>
              </w:rPr>
              <w:t>Approver (Lead)</w:t>
            </w:r>
          </w:p>
          <w:p w:rsidR="003830A8" w:rsidRPr="001E4E8E" w:rsidRDefault="003830A8" w:rsidP="00471F9B">
            <w:pPr>
              <w:spacing w:after="0" w:line="240" w:lineRule="auto"/>
              <w:rPr>
                <w:bCs/>
                <w:i/>
                <w:color w:val="262626"/>
                <w:sz w:val="20"/>
                <w:szCs w:val="20"/>
              </w:rPr>
            </w:pPr>
            <w:r w:rsidRPr="001E4E8E">
              <w:rPr>
                <w:bCs/>
                <w:i/>
                <w:color w:val="262626"/>
                <w:sz w:val="20"/>
                <w:szCs w:val="20"/>
              </w:rPr>
              <w:t xml:space="preserve">(See list on </w:t>
            </w:r>
            <w:hyperlink r:id="rId9" w:history="1">
              <w:r w:rsidRPr="001E4E8E">
                <w:rPr>
                  <w:rStyle w:val="Hyperlink"/>
                  <w:bCs/>
                  <w:i/>
                  <w:sz w:val="20"/>
                  <w:szCs w:val="20"/>
                </w:rPr>
                <w:t>Reserve Funds KARL</w:t>
              </w:r>
            </w:hyperlink>
            <w:r w:rsidRPr="001E4E8E">
              <w:rPr>
                <w:bCs/>
                <w:i/>
                <w:color w:val="262626"/>
                <w:sz w:val="20"/>
                <w:szCs w:val="20"/>
              </w:rPr>
              <w:t>)</w:t>
            </w:r>
          </w:p>
        </w:tc>
        <w:tc>
          <w:tcPr>
            <w:tcW w:w="1525" w:type="dxa"/>
            <w:shd w:val="clear" w:color="auto" w:fill="auto"/>
            <w:tcMar>
              <w:top w:w="0" w:type="dxa"/>
              <w:left w:w="108" w:type="dxa"/>
              <w:bottom w:w="0" w:type="dxa"/>
              <w:right w:w="108" w:type="dxa"/>
            </w:tcMar>
          </w:tcPr>
          <w:p w:rsidR="003830A8" w:rsidRPr="001E4E8E" w:rsidRDefault="003830A8" w:rsidP="00471F9B">
            <w:pPr>
              <w:spacing w:after="0" w:line="240" w:lineRule="auto"/>
              <w:rPr>
                <w:rFonts w:ascii="Calibri" w:hAnsi="Calibri"/>
                <w:color w:val="262626"/>
                <w:sz w:val="20"/>
                <w:szCs w:val="20"/>
              </w:rPr>
            </w:pPr>
            <w:r w:rsidRPr="001E4E8E">
              <w:rPr>
                <w:rFonts w:ascii="Calibri" w:hAnsi="Calibri"/>
                <w:color w:val="262626"/>
                <w:sz w:val="20"/>
                <w:szCs w:val="20"/>
              </w:rPr>
              <w:t>Name</w:t>
            </w:r>
          </w:p>
        </w:tc>
        <w:tc>
          <w:tcPr>
            <w:tcW w:w="5623" w:type="dxa"/>
            <w:gridSpan w:val="2"/>
            <w:shd w:val="clear" w:color="auto" w:fill="auto"/>
          </w:tcPr>
          <w:p w:rsidR="003830A8" w:rsidRPr="002E23E3" w:rsidRDefault="00AA5FB6" w:rsidP="00471F9B">
            <w:pPr>
              <w:spacing w:after="0" w:line="240" w:lineRule="auto"/>
              <w:rPr>
                <w:rFonts w:ascii="Calibri" w:hAnsi="Calibri"/>
                <w:b/>
                <w:color w:val="262626"/>
                <w:sz w:val="20"/>
                <w:szCs w:val="20"/>
              </w:rPr>
            </w:pPr>
            <w:r w:rsidRPr="001E4E8E">
              <w:rPr>
                <w:rFonts w:ascii="Calibri" w:hAnsi="Calibri"/>
                <w:color w:val="262626"/>
                <w:sz w:val="20"/>
                <w:szCs w:val="20"/>
              </w:rPr>
              <w:t xml:space="preserve"> </w:t>
            </w:r>
            <w:r w:rsidRPr="002E23E3">
              <w:rPr>
                <w:rFonts w:ascii="Calibri" w:hAnsi="Calibri"/>
                <w:b/>
                <w:color w:val="262626"/>
                <w:sz w:val="20"/>
                <w:szCs w:val="20"/>
              </w:rPr>
              <w:t>Zaza Namoradze</w:t>
            </w:r>
          </w:p>
        </w:tc>
      </w:tr>
      <w:tr w:rsidR="003830A8" w:rsidRPr="001E4E8E" w:rsidTr="003830A8">
        <w:trPr>
          <w:trHeight w:val="273"/>
        </w:trPr>
        <w:tc>
          <w:tcPr>
            <w:tcW w:w="2448" w:type="dxa"/>
            <w:vMerge/>
            <w:shd w:val="clear" w:color="auto" w:fill="auto"/>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p>
        </w:tc>
        <w:tc>
          <w:tcPr>
            <w:tcW w:w="1525" w:type="dxa"/>
            <w:shd w:val="clear" w:color="auto" w:fill="auto"/>
            <w:tcMar>
              <w:top w:w="0" w:type="dxa"/>
              <w:left w:w="108" w:type="dxa"/>
              <w:bottom w:w="0" w:type="dxa"/>
              <w:right w:w="108" w:type="dxa"/>
            </w:tcMar>
          </w:tcPr>
          <w:p w:rsidR="003830A8" w:rsidRPr="001E4E8E" w:rsidRDefault="003830A8" w:rsidP="00471F9B">
            <w:pPr>
              <w:spacing w:after="0" w:line="240" w:lineRule="auto"/>
              <w:rPr>
                <w:rFonts w:ascii="Calibri" w:hAnsi="Calibri"/>
                <w:color w:val="262626"/>
                <w:sz w:val="20"/>
                <w:szCs w:val="20"/>
              </w:rPr>
            </w:pPr>
            <w:r w:rsidRPr="001E4E8E">
              <w:rPr>
                <w:rFonts w:ascii="Calibri" w:hAnsi="Calibri"/>
                <w:color w:val="262626"/>
                <w:sz w:val="20"/>
                <w:szCs w:val="20"/>
              </w:rPr>
              <w:t>Date Approved</w:t>
            </w:r>
          </w:p>
        </w:tc>
        <w:tc>
          <w:tcPr>
            <w:tcW w:w="5623" w:type="dxa"/>
            <w:gridSpan w:val="2"/>
            <w:shd w:val="clear" w:color="auto" w:fill="auto"/>
          </w:tcPr>
          <w:p w:rsidR="003830A8" w:rsidRPr="001E4E8E" w:rsidRDefault="000B06D2" w:rsidP="00471F9B">
            <w:pPr>
              <w:spacing w:after="0" w:line="240" w:lineRule="auto"/>
              <w:rPr>
                <w:rFonts w:ascii="Calibri" w:hAnsi="Calibri"/>
                <w:color w:val="262626"/>
                <w:sz w:val="20"/>
                <w:szCs w:val="20"/>
              </w:rPr>
            </w:pPr>
            <w:r>
              <w:rPr>
                <w:rFonts w:ascii="Calibri" w:hAnsi="Calibri"/>
                <w:color w:val="262626"/>
                <w:sz w:val="20"/>
                <w:szCs w:val="20"/>
              </w:rPr>
              <w:t xml:space="preserve"> March 1, 2016</w:t>
            </w:r>
          </w:p>
        </w:tc>
      </w:tr>
      <w:tr w:rsidR="003830A8" w:rsidRPr="001E4E8E" w:rsidTr="00265071">
        <w:tblPrEx>
          <w:shd w:val="clear" w:color="auto" w:fill="CCFFCC"/>
        </w:tblPrEx>
        <w:trPr>
          <w:trHeight w:val="1241"/>
        </w:trPr>
        <w:tc>
          <w:tcPr>
            <w:tcW w:w="2448" w:type="dxa"/>
            <w:shd w:val="clear" w:color="auto" w:fill="CCFFCC"/>
            <w:tcMar>
              <w:top w:w="0" w:type="dxa"/>
              <w:left w:w="108" w:type="dxa"/>
              <w:bottom w:w="0" w:type="dxa"/>
              <w:right w:w="108" w:type="dxa"/>
            </w:tcMar>
            <w:hideMark/>
          </w:tcPr>
          <w:p w:rsidR="003830A8" w:rsidRPr="001E4E8E" w:rsidRDefault="003830A8" w:rsidP="00471F9B">
            <w:pPr>
              <w:spacing w:after="0" w:line="240" w:lineRule="auto"/>
              <w:rPr>
                <w:b/>
                <w:bCs/>
                <w:color w:val="262626"/>
                <w:sz w:val="20"/>
                <w:szCs w:val="20"/>
              </w:rPr>
            </w:pPr>
            <w:r w:rsidRPr="001E4E8E">
              <w:rPr>
                <w:b/>
                <w:bCs/>
                <w:color w:val="262626"/>
                <w:sz w:val="20"/>
                <w:szCs w:val="20"/>
              </w:rPr>
              <w:t>Approver (Lead) Notes / Comments (Optional)</w:t>
            </w:r>
          </w:p>
          <w:p w:rsidR="003830A8" w:rsidRPr="001E4E8E" w:rsidRDefault="003830A8" w:rsidP="00471F9B">
            <w:pPr>
              <w:spacing w:after="0" w:line="240" w:lineRule="auto"/>
              <w:rPr>
                <w:rFonts w:ascii="Calibri" w:hAnsi="Calibri"/>
                <w:b/>
                <w:bCs/>
                <w:color w:val="262626"/>
                <w:sz w:val="20"/>
                <w:szCs w:val="20"/>
              </w:rPr>
            </w:pPr>
            <w:r w:rsidRPr="001E4E8E">
              <w:rPr>
                <w:bCs/>
                <w:i/>
                <w:color w:val="262626"/>
                <w:sz w:val="20"/>
                <w:szCs w:val="20"/>
              </w:rPr>
              <w:t xml:space="preserve">(To be completed by </w:t>
            </w:r>
            <w:r w:rsidRPr="001E4E8E">
              <w:rPr>
                <w:bCs/>
                <w:i/>
                <w:color w:val="262626"/>
                <w:sz w:val="20"/>
                <w:szCs w:val="20"/>
                <w:u w:val="single"/>
              </w:rPr>
              <w:t>approver only</w:t>
            </w:r>
            <w:r w:rsidRPr="001E4E8E">
              <w:rPr>
                <w:bCs/>
                <w:i/>
                <w:color w:val="262626"/>
                <w:sz w:val="20"/>
                <w:szCs w:val="20"/>
              </w:rPr>
              <w:t>)</w:t>
            </w:r>
          </w:p>
        </w:tc>
        <w:tc>
          <w:tcPr>
            <w:tcW w:w="7148" w:type="dxa"/>
            <w:gridSpan w:val="3"/>
            <w:shd w:val="clear" w:color="auto" w:fill="CCFFCC"/>
            <w:tcMar>
              <w:top w:w="0" w:type="dxa"/>
              <w:left w:w="108" w:type="dxa"/>
              <w:bottom w:w="0" w:type="dxa"/>
              <w:right w:w="108" w:type="dxa"/>
            </w:tcMar>
          </w:tcPr>
          <w:p w:rsidR="003830A8" w:rsidRPr="001E4E8E" w:rsidRDefault="003830A8" w:rsidP="00471F9B">
            <w:pPr>
              <w:spacing w:after="0" w:line="240" w:lineRule="auto"/>
              <w:rPr>
                <w:rFonts w:ascii="Calibri" w:hAnsi="Calibri"/>
                <w:color w:val="262626"/>
                <w:sz w:val="20"/>
                <w:szCs w:val="20"/>
              </w:rPr>
            </w:pPr>
          </w:p>
        </w:tc>
      </w:tr>
      <w:tr w:rsidR="003830A8" w:rsidRPr="001E4E8E" w:rsidTr="003830A8">
        <w:trPr>
          <w:trHeight w:val="511"/>
        </w:trPr>
        <w:tc>
          <w:tcPr>
            <w:tcW w:w="2448" w:type="dxa"/>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r w:rsidRPr="001E4E8E">
              <w:rPr>
                <w:b/>
                <w:bCs/>
                <w:color w:val="262626"/>
                <w:sz w:val="20"/>
                <w:szCs w:val="20"/>
              </w:rPr>
              <w:t>Urgency level for grant approval &amp; payments</w:t>
            </w:r>
          </w:p>
        </w:tc>
        <w:tc>
          <w:tcPr>
            <w:tcW w:w="3574" w:type="dxa"/>
            <w:gridSpan w:val="2"/>
            <w:tcMar>
              <w:top w:w="0" w:type="dxa"/>
              <w:left w:w="108" w:type="dxa"/>
              <w:bottom w:w="0" w:type="dxa"/>
              <w:right w:w="108" w:type="dxa"/>
            </w:tcMar>
            <w:vAlign w:val="center"/>
          </w:tcPr>
          <w:p w:rsidR="003830A8" w:rsidRPr="001E4E8E" w:rsidRDefault="000465F1" w:rsidP="00471F9B">
            <w:pPr>
              <w:pStyle w:val="ColorfulList-Accent11"/>
              <w:spacing w:after="0" w:line="240" w:lineRule="auto"/>
              <w:ind w:left="0"/>
              <w:rPr>
                <w:sz w:val="20"/>
                <w:szCs w:val="20"/>
              </w:rPr>
            </w:pPr>
            <w:sdt>
              <w:sdtPr>
                <w:rPr>
                  <w:sz w:val="20"/>
                  <w:szCs w:val="20"/>
                </w:rPr>
                <w:id w:val="-1431961457"/>
                <w14:checkbox>
                  <w14:checked w14:val="1"/>
                  <w14:checkedState w14:val="2612" w14:font="Yu Gothic UI"/>
                  <w14:uncheckedState w14:val="2610" w14:font="Yu Gothic UI"/>
                </w14:checkbox>
              </w:sdtPr>
              <w:sdtEndPr/>
              <w:sdtContent>
                <w:r w:rsidR="003830A8" w:rsidRPr="001E4E8E">
                  <w:rPr>
                    <w:rFonts w:ascii="MS Gothic" w:eastAsia="MS Gothic" w:hAnsi="MS Gothic" w:hint="eastAsia"/>
                    <w:sz w:val="20"/>
                    <w:szCs w:val="20"/>
                  </w:rPr>
                  <w:t>☒</w:t>
                </w:r>
              </w:sdtContent>
            </w:sdt>
            <w:r w:rsidR="003830A8" w:rsidRPr="001E4E8E">
              <w:rPr>
                <w:sz w:val="20"/>
                <w:szCs w:val="20"/>
              </w:rPr>
              <w:t xml:space="preserve"> </w:t>
            </w:r>
            <w:r w:rsidR="003830A8" w:rsidRPr="001E4E8E">
              <w:rPr>
                <w:b/>
                <w:sz w:val="20"/>
                <w:szCs w:val="20"/>
                <w:u w:val="single"/>
              </w:rPr>
              <w:t>Not</w:t>
            </w:r>
            <w:r w:rsidR="003830A8" w:rsidRPr="001E4E8E">
              <w:rPr>
                <w:sz w:val="20"/>
                <w:szCs w:val="20"/>
              </w:rPr>
              <w:t xml:space="preserve"> Rapid Response </w:t>
            </w:r>
          </w:p>
        </w:tc>
        <w:tc>
          <w:tcPr>
            <w:tcW w:w="3574" w:type="dxa"/>
            <w:vAlign w:val="center"/>
          </w:tcPr>
          <w:p w:rsidR="003830A8" w:rsidRPr="001E4E8E" w:rsidRDefault="003830A8" w:rsidP="00471F9B">
            <w:pPr>
              <w:pStyle w:val="ColorfulList-Accent11"/>
              <w:spacing w:after="0" w:line="240" w:lineRule="auto"/>
              <w:ind w:left="0"/>
              <w:rPr>
                <w:sz w:val="20"/>
                <w:szCs w:val="20"/>
              </w:rPr>
            </w:pPr>
            <w:r w:rsidRPr="001E4E8E">
              <w:rPr>
                <w:sz w:val="20"/>
                <w:szCs w:val="20"/>
              </w:rPr>
              <w:t xml:space="preserve">  </w:t>
            </w:r>
            <w:sdt>
              <w:sdtPr>
                <w:rPr>
                  <w:sz w:val="20"/>
                  <w:szCs w:val="20"/>
                </w:rPr>
                <w:id w:val="-1454474560"/>
                <w14:checkbox>
                  <w14:checked w14:val="0"/>
                  <w14:checkedState w14:val="2612" w14:font="Yu Gothic UI"/>
                  <w14:uncheckedState w14:val="2610" w14:font="Yu Gothic UI"/>
                </w14:checkbox>
              </w:sdtPr>
              <w:sdtEndPr/>
              <w:sdtContent>
                <w:r w:rsidRPr="001E4E8E">
                  <w:rPr>
                    <w:rFonts w:ascii="MS Gothic" w:eastAsia="MS Gothic" w:hAnsi="MS Gothic" w:hint="eastAsia"/>
                    <w:sz w:val="20"/>
                    <w:szCs w:val="20"/>
                  </w:rPr>
                  <w:t>☐</w:t>
                </w:r>
              </w:sdtContent>
            </w:sdt>
            <w:r w:rsidRPr="001E4E8E">
              <w:rPr>
                <w:sz w:val="20"/>
                <w:szCs w:val="20"/>
              </w:rPr>
              <w:t xml:space="preserve"> Rapid Response </w:t>
            </w:r>
            <w:r w:rsidRPr="001E4E8E">
              <w:rPr>
                <w:bCs/>
                <w:i/>
                <w:color w:val="262626"/>
                <w:sz w:val="20"/>
                <w:szCs w:val="20"/>
              </w:rPr>
              <w:t xml:space="preserve">(See procedure on </w:t>
            </w:r>
            <w:hyperlink r:id="rId10" w:history="1">
              <w:r w:rsidRPr="001E4E8E">
                <w:rPr>
                  <w:rStyle w:val="Hyperlink"/>
                  <w:bCs/>
                  <w:i/>
                  <w:sz w:val="20"/>
                  <w:szCs w:val="20"/>
                </w:rPr>
                <w:t>KARL</w:t>
              </w:r>
            </w:hyperlink>
            <w:r w:rsidRPr="001E4E8E">
              <w:rPr>
                <w:bCs/>
                <w:i/>
                <w:color w:val="262626"/>
                <w:sz w:val="20"/>
                <w:szCs w:val="20"/>
              </w:rPr>
              <w:t>)</w:t>
            </w:r>
          </w:p>
        </w:tc>
      </w:tr>
      <w:tr w:rsidR="003830A8" w:rsidRPr="001E4E8E" w:rsidTr="003830A8">
        <w:trPr>
          <w:trHeight w:val="287"/>
        </w:trPr>
        <w:tc>
          <w:tcPr>
            <w:tcW w:w="2448" w:type="dxa"/>
            <w:vMerge w:val="restart"/>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r w:rsidRPr="001E4E8E">
              <w:rPr>
                <w:b/>
                <w:bCs/>
                <w:color w:val="262626"/>
                <w:sz w:val="20"/>
                <w:szCs w:val="20"/>
              </w:rPr>
              <w:t xml:space="preserve">If approved, where to allocate the budget? </w:t>
            </w:r>
          </w:p>
          <w:p w:rsidR="003830A8" w:rsidRPr="001E4E8E" w:rsidRDefault="003830A8" w:rsidP="00471F9B">
            <w:pPr>
              <w:spacing w:after="0" w:line="240" w:lineRule="auto"/>
              <w:rPr>
                <w:b/>
                <w:bCs/>
                <w:color w:val="262626"/>
                <w:sz w:val="20"/>
                <w:szCs w:val="20"/>
              </w:rPr>
            </w:pPr>
            <w:r w:rsidRPr="001E4E8E">
              <w:rPr>
                <w:bCs/>
                <w:i/>
                <w:color w:val="262626"/>
                <w:sz w:val="20"/>
                <w:szCs w:val="20"/>
              </w:rPr>
              <w:t>(If the budget is split between multiple programs, please copy/paste this section as needed.)</w:t>
            </w:r>
          </w:p>
        </w:tc>
        <w:tc>
          <w:tcPr>
            <w:tcW w:w="3574" w:type="dxa"/>
            <w:gridSpan w:val="2"/>
            <w:tcMar>
              <w:top w:w="0" w:type="dxa"/>
              <w:left w:w="108" w:type="dxa"/>
              <w:bottom w:w="0" w:type="dxa"/>
              <w:right w:w="108" w:type="dxa"/>
            </w:tcMar>
          </w:tcPr>
          <w:p w:rsidR="003830A8" w:rsidRPr="001E4E8E" w:rsidRDefault="003830A8" w:rsidP="00471F9B">
            <w:pPr>
              <w:pStyle w:val="ColorfulList-Accent11"/>
              <w:spacing w:after="0" w:line="240" w:lineRule="auto"/>
              <w:ind w:left="0"/>
              <w:rPr>
                <w:sz w:val="20"/>
                <w:szCs w:val="20"/>
              </w:rPr>
            </w:pPr>
            <w:r w:rsidRPr="001E4E8E">
              <w:rPr>
                <w:sz w:val="20"/>
                <w:szCs w:val="20"/>
              </w:rPr>
              <w:t>Amount</w:t>
            </w:r>
          </w:p>
        </w:tc>
        <w:tc>
          <w:tcPr>
            <w:tcW w:w="3574" w:type="dxa"/>
          </w:tcPr>
          <w:p w:rsidR="003830A8" w:rsidRPr="004D682A" w:rsidRDefault="001D61E7" w:rsidP="00471F9B">
            <w:pPr>
              <w:pStyle w:val="ColorfulList-Accent11"/>
              <w:spacing w:after="0" w:line="240" w:lineRule="auto"/>
              <w:ind w:left="0"/>
              <w:rPr>
                <w:sz w:val="20"/>
                <w:szCs w:val="20"/>
              </w:rPr>
            </w:pPr>
            <w:r w:rsidRPr="004D682A">
              <w:rPr>
                <w:rFonts w:ascii="Arial Narrow" w:hAnsi="Arial Narrow" w:cs="Arial"/>
                <w:sz w:val="20"/>
                <w:szCs w:val="20"/>
              </w:rPr>
              <w:t>251,495.00 USD</w:t>
            </w:r>
          </w:p>
        </w:tc>
      </w:tr>
      <w:tr w:rsidR="003830A8" w:rsidRPr="001E4E8E" w:rsidTr="003830A8">
        <w:trPr>
          <w:trHeight w:val="288"/>
        </w:trPr>
        <w:tc>
          <w:tcPr>
            <w:tcW w:w="2448" w:type="dxa"/>
            <w:vMerge/>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p>
        </w:tc>
        <w:tc>
          <w:tcPr>
            <w:tcW w:w="3574" w:type="dxa"/>
            <w:gridSpan w:val="2"/>
            <w:tcMar>
              <w:top w:w="0" w:type="dxa"/>
              <w:left w:w="108" w:type="dxa"/>
              <w:bottom w:w="0" w:type="dxa"/>
              <w:right w:w="108" w:type="dxa"/>
            </w:tcMar>
          </w:tcPr>
          <w:p w:rsidR="003830A8" w:rsidRPr="001E4E8E" w:rsidRDefault="003830A8" w:rsidP="00471F9B">
            <w:pPr>
              <w:pStyle w:val="ColorfulList-Accent11"/>
              <w:spacing w:after="0" w:line="240" w:lineRule="auto"/>
              <w:ind w:left="0"/>
              <w:rPr>
                <w:sz w:val="20"/>
                <w:szCs w:val="20"/>
              </w:rPr>
            </w:pPr>
            <w:r w:rsidRPr="001E4E8E">
              <w:rPr>
                <w:sz w:val="20"/>
                <w:szCs w:val="20"/>
              </w:rPr>
              <w:t>Category of Work</w:t>
            </w:r>
          </w:p>
        </w:tc>
        <w:tc>
          <w:tcPr>
            <w:tcW w:w="3574" w:type="dxa"/>
          </w:tcPr>
          <w:p w:rsidR="003830A8" w:rsidRPr="001E4E8E" w:rsidRDefault="001829FE" w:rsidP="00471F9B">
            <w:pPr>
              <w:pStyle w:val="ColorfulList-Accent11"/>
              <w:spacing w:after="0" w:line="240" w:lineRule="auto"/>
              <w:ind w:left="0"/>
              <w:rPr>
                <w:sz w:val="20"/>
                <w:szCs w:val="20"/>
              </w:rPr>
            </w:pPr>
            <w:r w:rsidRPr="001E4E8E">
              <w:rPr>
                <w:sz w:val="20"/>
                <w:szCs w:val="20"/>
              </w:rPr>
              <w:t>LXXS000 : SHARED FRAMEWORK : Legal Empowerment</w:t>
            </w:r>
          </w:p>
        </w:tc>
      </w:tr>
      <w:tr w:rsidR="003830A8" w:rsidRPr="001E4E8E" w:rsidTr="003830A8">
        <w:trPr>
          <w:trHeight w:val="287"/>
        </w:trPr>
        <w:tc>
          <w:tcPr>
            <w:tcW w:w="2448" w:type="dxa"/>
            <w:vMerge/>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p>
        </w:tc>
        <w:tc>
          <w:tcPr>
            <w:tcW w:w="3574" w:type="dxa"/>
            <w:gridSpan w:val="2"/>
            <w:tcMar>
              <w:top w:w="0" w:type="dxa"/>
              <w:left w:w="108" w:type="dxa"/>
              <w:bottom w:w="0" w:type="dxa"/>
              <w:right w:w="108" w:type="dxa"/>
            </w:tcMar>
          </w:tcPr>
          <w:p w:rsidR="003830A8" w:rsidRPr="001E4E8E" w:rsidRDefault="003830A8" w:rsidP="00471F9B">
            <w:pPr>
              <w:pStyle w:val="ColorfulList-Accent11"/>
              <w:spacing w:after="0" w:line="240" w:lineRule="auto"/>
              <w:ind w:left="0"/>
              <w:rPr>
                <w:sz w:val="20"/>
                <w:szCs w:val="20"/>
              </w:rPr>
            </w:pPr>
            <w:r w:rsidRPr="001E4E8E">
              <w:rPr>
                <w:sz w:val="20"/>
                <w:szCs w:val="20"/>
              </w:rPr>
              <w:t>Division/Program Code</w:t>
            </w:r>
          </w:p>
        </w:tc>
        <w:tc>
          <w:tcPr>
            <w:tcW w:w="3574" w:type="dxa"/>
          </w:tcPr>
          <w:p w:rsidR="003830A8" w:rsidRPr="001E4E8E" w:rsidRDefault="008F7C50" w:rsidP="00471F9B">
            <w:pPr>
              <w:pStyle w:val="ColorfulList-Accent11"/>
              <w:spacing w:after="0" w:line="240" w:lineRule="auto"/>
              <w:ind w:left="0"/>
              <w:rPr>
                <w:sz w:val="20"/>
                <w:szCs w:val="20"/>
              </w:rPr>
            </w:pPr>
            <w:r w:rsidRPr="001E4E8E">
              <w:rPr>
                <w:sz w:val="20"/>
                <w:szCs w:val="20"/>
              </w:rPr>
              <w:t>18006: Operations Reserve : Shared Frameworks : Legal Empowerment</w:t>
            </w:r>
          </w:p>
        </w:tc>
      </w:tr>
      <w:tr w:rsidR="003830A8" w:rsidRPr="001E4E8E" w:rsidTr="003830A8">
        <w:trPr>
          <w:trHeight w:val="288"/>
        </w:trPr>
        <w:tc>
          <w:tcPr>
            <w:tcW w:w="2448" w:type="dxa"/>
            <w:vMerge/>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p>
        </w:tc>
        <w:tc>
          <w:tcPr>
            <w:tcW w:w="3574" w:type="dxa"/>
            <w:gridSpan w:val="2"/>
            <w:tcMar>
              <w:top w:w="0" w:type="dxa"/>
              <w:left w:w="108" w:type="dxa"/>
              <w:bottom w:w="0" w:type="dxa"/>
              <w:right w:w="108" w:type="dxa"/>
            </w:tcMar>
          </w:tcPr>
          <w:p w:rsidR="003830A8" w:rsidRPr="001E4E8E" w:rsidRDefault="003830A8" w:rsidP="00471F9B">
            <w:pPr>
              <w:pStyle w:val="ColorfulList-Accent11"/>
              <w:spacing w:after="0" w:line="240" w:lineRule="auto"/>
              <w:ind w:left="0"/>
              <w:rPr>
                <w:sz w:val="20"/>
                <w:szCs w:val="20"/>
              </w:rPr>
            </w:pPr>
            <w:r w:rsidRPr="001E4E8E">
              <w:rPr>
                <w:sz w:val="20"/>
                <w:szCs w:val="20"/>
              </w:rPr>
              <w:t xml:space="preserve">Entity </w:t>
            </w:r>
            <w:r w:rsidRPr="001E4E8E">
              <w:rPr>
                <w:i/>
                <w:sz w:val="20"/>
                <w:szCs w:val="20"/>
              </w:rPr>
              <w:t>(i.e., FPOS, ZUG)</w:t>
            </w:r>
          </w:p>
        </w:tc>
        <w:tc>
          <w:tcPr>
            <w:tcW w:w="3574" w:type="dxa"/>
          </w:tcPr>
          <w:p w:rsidR="003830A8" w:rsidRPr="001E4E8E" w:rsidRDefault="008F7C50" w:rsidP="00471F9B">
            <w:pPr>
              <w:pStyle w:val="ColorfulList-Accent11"/>
              <w:spacing w:after="0" w:line="240" w:lineRule="auto"/>
              <w:ind w:left="0"/>
              <w:rPr>
                <w:sz w:val="20"/>
                <w:szCs w:val="20"/>
              </w:rPr>
            </w:pPr>
            <w:r w:rsidRPr="001E4E8E">
              <w:rPr>
                <w:sz w:val="20"/>
                <w:szCs w:val="20"/>
              </w:rPr>
              <w:t>ZUG - FOSI</w:t>
            </w:r>
          </w:p>
        </w:tc>
      </w:tr>
      <w:tr w:rsidR="003830A8" w:rsidRPr="001E4E8E" w:rsidTr="003830A8">
        <w:trPr>
          <w:trHeight w:val="287"/>
        </w:trPr>
        <w:tc>
          <w:tcPr>
            <w:tcW w:w="2448" w:type="dxa"/>
            <w:vMerge/>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p>
        </w:tc>
        <w:tc>
          <w:tcPr>
            <w:tcW w:w="3574" w:type="dxa"/>
            <w:gridSpan w:val="2"/>
            <w:tcMar>
              <w:top w:w="0" w:type="dxa"/>
              <w:left w:w="108" w:type="dxa"/>
              <w:bottom w:w="0" w:type="dxa"/>
              <w:right w:w="108" w:type="dxa"/>
            </w:tcMar>
          </w:tcPr>
          <w:p w:rsidR="003830A8" w:rsidRPr="001E4E8E" w:rsidRDefault="003830A8" w:rsidP="00471F9B">
            <w:pPr>
              <w:pStyle w:val="ColorfulList-Accent11"/>
              <w:spacing w:after="0" w:line="240" w:lineRule="auto"/>
              <w:ind w:left="0"/>
              <w:rPr>
                <w:sz w:val="20"/>
                <w:szCs w:val="20"/>
              </w:rPr>
            </w:pPr>
            <w:r w:rsidRPr="001E4E8E">
              <w:rPr>
                <w:sz w:val="20"/>
                <w:szCs w:val="20"/>
              </w:rPr>
              <w:t xml:space="preserve">Fund Class </w:t>
            </w:r>
            <w:r w:rsidRPr="001E4E8E">
              <w:rPr>
                <w:i/>
                <w:sz w:val="20"/>
                <w:szCs w:val="20"/>
              </w:rPr>
              <w:t>(i.e., Lobbying/Non-Lobbying)</w:t>
            </w:r>
          </w:p>
        </w:tc>
        <w:tc>
          <w:tcPr>
            <w:tcW w:w="3574" w:type="dxa"/>
          </w:tcPr>
          <w:p w:rsidR="003830A8" w:rsidRPr="001E4E8E" w:rsidRDefault="008F7C50" w:rsidP="00471F9B">
            <w:pPr>
              <w:pStyle w:val="ColorfulList-Accent11"/>
              <w:spacing w:after="0" w:line="240" w:lineRule="auto"/>
              <w:ind w:left="0"/>
              <w:rPr>
                <w:sz w:val="20"/>
                <w:szCs w:val="20"/>
              </w:rPr>
            </w:pPr>
            <w:r w:rsidRPr="001E4E8E">
              <w:rPr>
                <w:sz w:val="20"/>
                <w:szCs w:val="20"/>
              </w:rPr>
              <w:t>Non-Lobbying</w:t>
            </w:r>
          </w:p>
        </w:tc>
      </w:tr>
      <w:tr w:rsidR="003830A8" w:rsidRPr="001E4E8E" w:rsidTr="003830A8">
        <w:trPr>
          <w:trHeight w:val="288"/>
        </w:trPr>
        <w:tc>
          <w:tcPr>
            <w:tcW w:w="2448" w:type="dxa"/>
            <w:vMerge/>
            <w:tcMar>
              <w:top w:w="0" w:type="dxa"/>
              <w:left w:w="108" w:type="dxa"/>
              <w:bottom w:w="0" w:type="dxa"/>
              <w:right w:w="108" w:type="dxa"/>
            </w:tcMar>
          </w:tcPr>
          <w:p w:rsidR="003830A8" w:rsidRPr="001E4E8E" w:rsidRDefault="003830A8" w:rsidP="00471F9B">
            <w:pPr>
              <w:spacing w:after="0" w:line="240" w:lineRule="auto"/>
              <w:rPr>
                <w:b/>
                <w:bCs/>
                <w:color w:val="262626"/>
                <w:sz w:val="20"/>
                <w:szCs w:val="20"/>
              </w:rPr>
            </w:pPr>
          </w:p>
        </w:tc>
        <w:tc>
          <w:tcPr>
            <w:tcW w:w="3574" w:type="dxa"/>
            <w:gridSpan w:val="2"/>
            <w:tcMar>
              <w:top w:w="0" w:type="dxa"/>
              <w:left w:w="108" w:type="dxa"/>
              <w:bottom w:w="0" w:type="dxa"/>
              <w:right w:w="108" w:type="dxa"/>
            </w:tcMar>
          </w:tcPr>
          <w:p w:rsidR="003830A8" w:rsidRPr="001E4E8E" w:rsidRDefault="003830A8" w:rsidP="00471F9B">
            <w:pPr>
              <w:pStyle w:val="ColorfulList-Accent11"/>
              <w:spacing w:after="0" w:line="240" w:lineRule="auto"/>
              <w:ind w:left="0"/>
              <w:rPr>
                <w:sz w:val="20"/>
                <w:szCs w:val="20"/>
              </w:rPr>
            </w:pPr>
            <w:r w:rsidRPr="001E4E8E">
              <w:rPr>
                <w:sz w:val="20"/>
                <w:szCs w:val="20"/>
              </w:rPr>
              <w:t xml:space="preserve">Geography </w:t>
            </w:r>
            <w:r w:rsidRPr="001E4E8E">
              <w:rPr>
                <w:i/>
                <w:sz w:val="20"/>
                <w:szCs w:val="20"/>
              </w:rPr>
              <w:t>(of benefit)</w:t>
            </w:r>
          </w:p>
        </w:tc>
        <w:tc>
          <w:tcPr>
            <w:tcW w:w="3574" w:type="dxa"/>
          </w:tcPr>
          <w:p w:rsidR="003830A8" w:rsidRPr="001E4E8E" w:rsidRDefault="008F7C50" w:rsidP="00471F9B">
            <w:pPr>
              <w:pStyle w:val="ColorfulList-Accent11"/>
              <w:spacing w:after="0" w:line="240" w:lineRule="auto"/>
              <w:ind w:left="0"/>
              <w:rPr>
                <w:sz w:val="20"/>
                <w:szCs w:val="20"/>
              </w:rPr>
            </w:pPr>
            <w:r w:rsidRPr="001E4E8E">
              <w:rPr>
                <w:sz w:val="20"/>
                <w:szCs w:val="20"/>
              </w:rPr>
              <w:t>CEEU.MD</w:t>
            </w:r>
          </w:p>
        </w:tc>
      </w:tr>
    </w:tbl>
    <w:p w:rsidR="003425C8" w:rsidRPr="001E4E8E" w:rsidRDefault="003425C8" w:rsidP="00471F9B">
      <w:pPr>
        <w:spacing w:line="240" w:lineRule="auto"/>
        <w:rPr>
          <w:sz w:val="20"/>
          <w:szCs w:val="20"/>
        </w:rPr>
      </w:pPr>
    </w:p>
    <w:sectPr w:rsidR="003425C8" w:rsidRPr="001E4E8E" w:rsidSect="002202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5F1" w:rsidRDefault="000465F1">
      <w:pPr>
        <w:spacing w:after="0" w:line="240" w:lineRule="auto"/>
      </w:pPr>
      <w:r>
        <w:separator/>
      </w:r>
    </w:p>
  </w:endnote>
  <w:endnote w:type="continuationSeparator" w:id="0">
    <w:p w:rsidR="000465F1" w:rsidRDefault="0004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71" w:rsidRPr="0022026F" w:rsidRDefault="0022026F" w:rsidP="001D14BC">
    <w:pPr>
      <w:pStyle w:val="Footer"/>
      <w:rPr>
        <w:sz w:val="16"/>
      </w:rPr>
    </w:pPr>
    <w:r>
      <w:rPr>
        <w:sz w:val="16"/>
      </w:rPr>
      <w:t>Shared Framework Reserve Funds Request Template_1April</w:t>
    </w:r>
    <w:r w:rsidRPr="006E72C5">
      <w:rPr>
        <w:sz w:val="16"/>
      </w:rPr>
      <w:t>2015</w:t>
    </w:r>
    <w:r w:rsidR="0026507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5F1" w:rsidRDefault="000465F1">
      <w:pPr>
        <w:spacing w:after="0" w:line="240" w:lineRule="auto"/>
      </w:pPr>
      <w:r>
        <w:separator/>
      </w:r>
    </w:p>
  </w:footnote>
  <w:footnote w:type="continuationSeparator" w:id="0">
    <w:p w:rsidR="000465F1" w:rsidRDefault="00046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7FD6"/>
    <w:multiLevelType w:val="hybridMultilevel"/>
    <w:tmpl w:val="F0A0BA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B158A"/>
    <w:multiLevelType w:val="hybridMultilevel"/>
    <w:tmpl w:val="F768D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BE"/>
    <w:rsid w:val="00010B3D"/>
    <w:rsid w:val="0003720A"/>
    <w:rsid w:val="00043AD5"/>
    <w:rsid w:val="000465F1"/>
    <w:rsid w:val="00061927"/>
    <w:rsid w:val="00071ACF"/>
    <w:rsid w:val="00081462"/>
    <w:rsid w:val="00086EBF"/>
    <w:rsid w:val="000A6A95"/>
    <w:rsid w:val="000B06D2"/>
    <w:rsid w:val="000D5A72"/>
    <w:rsid w:val="000D694A"/>
    <w:rsid w:val="000E1739"/>
    <w:rsid w:val="000E4EF8"/>
    <w:rsid w:val="00173C1F"/>
    <w:rsid w:val="00175D1B"/>
    <w:rsid w:val="001829FE"/>
    <w:rsid w:val="001B4E05"/>
    <w:rsid w:val="001B4FAE"/>
    <w:rsid w:val="001D14BC"/>
    <w:rsid w:val="001D1810"/>
    <w:rsid w:val="001D409F"/>
    <w:rsid w:val="001D444E"/>
    <w:rsid w:val="001D61E7"/>
    <w:rsid w:val="001D77C4"/>
    <w:rsid w:val="001E05BF"/>
    <w:rsid w:val="001E4E8E"/>
    <w:rsid w:val="00215B8A"/>
    <w:rsid w:val="0022026F"/>
    <w:rsid w:val="002308CB"/>
    <w:rsid w:val="00265071"/>
    <w:rsid w:val="00290C2A"/>
    <w:rsid w:val="002B7051"/>
    <w:rsid w:val="002E23E3"/>
    <w:rsid w:val="002F43E2"/>
    <w:rsid w:val="003104E4"/>
    <w:rsid w:val="0031420D"/>
    <w:rsid w:val="00320F5A"/>
    <w:rsid w:val="00324F07"/>
    <w:rsid w:val="00337C12"/>
    <w:rsid w:val="003425C8"/>
    <w:rsid w:val="00354C31"/>
    <w:rsid w:val="003830A8"/>
    <w:rsid w:val="003E14DD"/>
    <w:rsid w:val="003F1731"/>
    <w:rsid w:val="0043358D"/>
    <w:rsid w:val="00465EDF"/>
    <w:rsid w:val="00471F9B"/>
    <w:rsid w:val="00491608"/>
    <w:rsid w:val="004962C1"/>
    <w:rsid w:val="004D03AC"/>
    <w:rsid w:val="004D682A"/>
    <w:rsid w:val="00517603"/>
    <w:rsid w:val="00554D7E"/>
    <w:rsid w:val="00556B92"/>
    <w:rsid w:val="005673FE"/>
    <w:rsid w:val="005700E4"/>
    <w:rsid w:val="005B3EBA"/>
    <w:rsid w:val="0068704B"/>
    <w:rsid w:val="006B704C"/>
    <w:rsid w:val="006F6A54"/>
    <w:rsid w:val="00727916"/>
    <w:rsid w:val="00742966"/>
    <w:rsid w:val="00754994"/>
    <w:rsid w:val="007A144A"/>
    <w:rsid w:val="007D3C6E"/>
    <w:rsid w:val="007D5198"/>
    <w:rsid w:val="008401C3"/>
    <w:rsid w:val="00850DE5"/>
    <w:rsid w:val="00852D78"/>
    <w:rsid w:val="00864D4F"/>
    <w:rsid w:val="00890664"/>
    <w:rsid w:val="008E7898"/>
    <w:rsid w:val="008F7C50"/>
    <w:rsid w:val="00907546"/>
    <w:rsid w:val="00937EE8"/>
    <w:rsid w:val="00962DBF"/>
    <w:rsid w:val="00971F8A"/>
    <w:rsid w:val="00A47B70"/>
    <w:rsid w:val="00AA5FB6"/>
    <w:rsid w:val="00AD7A42"/>
    <w:rsid w:val="00AE6597"/>
    <w:rsid w:val="00B3135B"/>
    <w:rsid w:val="00B45EEE"/>
    <w:rsid w:val="00B814A1"/>
    <w:rsid w:val="00B9294F"/>
    <w:rsid w:val="00B93D2B"/>
    <w:rsid w:val="00BB16DE"/>
    <w:rsid w:val="00C472BB"/>
    <w:rsid w:val="00C665E8"/>
    <w:rsid w:val="00C97E5A"/>
    <w:rsid w:val="00CB1E74"/>
    <w:rsid w:val="00CD1CF9"/>
    <w:rsid w:val="00CF5C79"/>
    <w:rsid w:val="00D36437"/>
    <w:rsid w:val="00D568B1"/>
    <w:rsid w:val="00D65D31"/>
    <w:rsid w:val="00DB3A94"/>
    <w:rsid w:val="00E02470"/>
    <w:rsid w:val="00E075BE"/>
    <w:rsid w:val="00E0763A"/>
    <w:rsid w:val="00E2213F"/>
    <w:rsid w:val="00E47D21"/>
    <w:rsid w:val="00E91BA4"/>
    <w:rsid w:val="00E93CA5"/>
    <w:rsid w:val="00E9786D"/>
    <w:rsid w:val="00EB28BB"/>
    <w:rsid w:val="00EC6032"/>
    <w:rsid w:val="00ED73C5"/>
    <w:rsid w:val="00EF3975"/>
    <w:rsid w:val="00F65538"/>
    <w:rsid w:val="00F86E32"/>
    <w:rsid w:val="00FE3B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B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0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BE"/>
  </w:style>
  <w:style w:type="paragraph" w:styleId="Footer">
    <w:name w:val="footer"/>
    <w:basedOn w:val="Normal"/>
    <w:link w:val="FooterChar"/>
    <w:uiPriority w:val="99"/>
    <w:unhideWhenUsed/>
    <w:rsid w:val="00E0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BE"/>
  </w:style>
  <w:style w:type="paragraph" w:styleId="NoSpacing">
    <w:name w:val="No Spacing"/>
    <w:uiPriority w:val="1"/>
    <w:qFormat/>
    <w:rsid w:val="00E075BE"/>
    <w:pPr>
      <w:spacing w:after="0" w:line="240" w:lineRule="auto"/>
    </w:pPr>
  </w:style>
  <w:style w:type="paragraph" w:customStyle="1" w:styleId="ColorfulList-Accent11">
    <w:name w:val="Colorful List - Accent 11"/>
    <w:basedOn w:val="Normal"/>
    <w:uiPriority w:val="34"/>
    <w:rsid w:val="00E075BE"/>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700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0E4"/>
    <w:rPr>
      <w:rFonts w:ascii="Lucida Grande" w:hAnsi="Lucida Grande"/>
      <w:sz w:val="18"/>
      <w:szCs w:val="18"/>
    </w:rPr>
  </w:style>
  <w:style w:type="character" w:styleId="CommentReference">
    <w:name w:val="annotation reference"/>
    <w:basedOn w:val="DefaultParagraphFont"/>
    <w:uiPriority w:val="99"/>
    <w:semiHidden/>
    <w:unhideWhenUsed/>
    <w:rsid w:val="008E7898"/>
    <w:rPr>
      <w:sz w:val="18"/>
      <w:szCs w:val="18"/>
    </w:rPr>
  </w:style>
  <w:style w:type="paragraph" w:styleId="CommentText">
    <w:name w:val="annotation text"/>
    <w:basedOn w:val="Normal"/>
    <w:link w:val="CommentTextChar"/>
    <w:uiPriority w:val="99"/>
    <w:semiHidden/>
    <w:unhideWhenUsed/>
    <w:rsid w:val="008E7898"/>
    <w:pPr>
      <w:spacing w:line="240" w:lineRule="auto"/>
    </w:pPr>
    <w:rPr>
      <w:sz w:val="24"/>
      <w:szCs w:val="24"/>
    </w:rPr>
  </w:style>
  <w:style w:type="character" w:customStyle="1" w:styleId="CommentTextChar">
    <w:name w:val="Comment Text Char"/>
    <w:basedOn w:val="DefaultParagraphFont"/>
    <w:link w:val="CommentText"/>
    <w:uiPriority w:val="99"/>
    <w:semiHidden/>
    <w:rsid w:val="008E7898"/>
    <w:rPr>
      <w:sz w:val="24"/>
      <w:szCs w:val="24"/>
    </w:rPr>
  </w:style>
  <w:style w:type="paragraph" w:styleId="CommentSubject">
    <w:name w:val="annotation subject"/>
    <w:basedOn w:val="CommentText"/>
    <w:next w:val="CommentText"/>
    <w:link w:val="CommentSubjectChar"/>
    <w:uiPriority w:val="99"/>
    <w:semiHidden/>
    <w:unhideWhenUsed/>
    <w:rsid w:val="008E7898"/>
    <w:rPr>
      <w:b/>
      <w:bCs/>
      <w:sz w:val="20"/>
      <w:szCs w:val="20"/>
    </w:rPr>
  </w:style>
  <w:style w:type="character" w:customStyle="1" w:styleId="CommentSubjectChar">
    <w:name w:val="Comment Subject Char"/>
    <w:basedOn w:val="CommentTextChar"/>
    <w:link w:val="CommentSubject"/>
    <w:uiPriority w:val="99"/>
    <w:semiHidden/>
    <w:rsid w:val="008E7898"/>
    <w:rPr>
      <w:b/>
      <w:bCs/>
      <w:sz w:val="20"/>
      <w:szCs w:val="20"/>
    </w:rPr>
  </w:style>
  <w:style w:type="character" w:styleId="Hyperlink">
    <w:name w:val="Hyperlink"/>
    <w:basedOn w:val="DefaultParagraphFont"/>
    <w:uiPriority w:val="99"/>
    <w:unhideWhenUsed/>
    <w:rsid w:val="00DB3A94"/>
    <w:rPr>
      <w:color w:val="0000FF" w:themeColor="hyperlink"/>
      <w:u w:val="single"/>
    </w:rPr>
  </w:style>
  <w:style w:type="character" w:styleId="FollowedHyperlink">
    <w:name w:val="FollowedHyperlink"/>
    <w:basedOn w:val="DefaultParagraphFont"/>
    <w:uiPriority w:val="99"/>
    <w:semiHidden/>
    <w:unhideWhenUsed/>
    <w:rsid w:val="00850D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B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0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BE"/>
  </w:style>
  <w:style w:type="paragraph" w:styleId="Footer">
    <w:name w:val="footer"/>
    <w:basedOn w:val="Normal"/>
    <w:link w:val="FooterChar"/>
    <w:uiPriority w:val="99"/>
    <w:unhideWhenUsed/>
    <w:rsid w:val="00E0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BE"/>
  </w:style>
  <w:style w:type="paragraph" w:styleId="NoSpacing">
    <w:name w:val="No Spacing"/>
    <w:uiPriority w:val="1"/>
    <w:qFormat/>
    <w:rsid w:val="00E075BE"/>
    <w:pPr>
      <w:spacing w:after="0" w:line="240" w:lineRule="auto"/>
    </w:pPr>
  </w:style>
  <w:style w:type="paragraph" w:customStyle="1" w:styleId="ColorfulList-Accent11">
    <w:name w:val="Colorful List - Accent 11"/>
    <w:basedOn w:val="Normal"/>
    <w:uiPriority w:val="34"/>
    <w:rsid w:val="00E075BE"/>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700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0E4"/>
    <w:rPr>
      <w:rFonts w:ascii="Lucida Grande" w:hAnsi="Lucida Grande"/>
      <w:sz w:val="18"/>
      <w:szCs w:val="18"/>
    </w:rPr>
  </w:style>
  <w:style w:type="character" w:styleId="CommentReference">
    <w:name w:val="annotation reference"/>
    <w:basedOn w:val="DefaultParagraphFont"/>
    <w:uiPriority w:val="99"/>
    <w:semiHidden/>
    <w:unhideWhenUsed/>
    <w:rsid w:val="008E7898"/>
    <w:rPr>
      <w:sz w:val="18"/>
      <w:szCs w:val="18"/>
    </w:rPr>
  </w:style>
  <w:style w:type="paragraph" w:styleId="CommentText">
    <w:name w:val="annotation text"/>
    <w:basedOn w:val="Normal"/>
    <w:link w:val="CommentTextChar"/>
    <w:uiPriority w:val="99"/>
    <w:semiHidden/>
    <w:unhideWhenUsed/>
    <w:rsid w:val="008E7898"/>
    <w:pPr>
      <w:spacing w:line="240" w:lineRule="auto"/>
    </w:pPr>
    <w:rPr>
      <w:sz w:val="24"/>
      <w:szCs w:val="24"/>
    </w:rPr>
  </w:style>
  <w:style w:type="character" w:customStyle="1" w:styleId="CommentTextChar">
    <w:name w:val="Comment Text Char"/>
    <w:basedOn w:val="DefaultParagraphFont"/>
    <w:link w:val="CommentText"/>
    <w:uiPriority w:val="99"/>
    <w:semiHidden/>
    <w:rsid w:val="008E7898"/>
    <w:rPr>
      <w:sz w:val="24"/>
      <w:szCs w:val="24"/>
    </w:rPr>
  </w:style>
  <w:style w:type="paragraph" w:styleId="CommentSubject">
    <w:name w:val="annotation subject"/>
    <w:basedOn w:val="CommentText"/>
    <w:next w:val="CommentText"/>
    <w:link w:val="CommentSubjectChar"/>
    <w:uiPriority w:val="99"/>
    <w:semiHidden/>
    <w:unhideWhenUsed/>
    <w:rsid w:val="008E7898"/>
    <w:rPr>
      <w:b/>
      <w:bCs/>
      <w:sz w:val="20"/>
      <w:szCs w:val="20"/>
    </w:rPr>
  </w:style>
  <w:style w:type="character" w:customStyle="1" w:styleId="CommentSubjectChar">
    <w:name w:val="Comment Subject Char"/>
    <w:basedOn w:val="CommentTextChar"/>
    <w:link w:val="CommentSubject"/>
    <w:uiPriority w:val="99"/>
    <w:semiHidden/>
    <w:rsid w:val="008E7898"/>
    <w:rPr>
      <w:b/>
      <w:bCs/>
      <w:sz w:val="20"/>
      <w:szCs w:val="20"/>
    </w:rPr>
  </w:style>
  <w:style w:type="character" w:styleId="Hyperlink">
    <w:name w:val="Hyperlink"/>
    <w:basedOn w:val="DefaultParagraphFont"/>
    <w:uiPriority w:val="99"/>
    <w:unhideWhenUsed/>
    <w:rsid w:val="00DB3A94"/>
    <w:rPr>
      <w:color w:val="0000FF" w:themeColor="hyperlink"/>
      <w:u w:val="single"/>
    </w:rPr>
  </w:style>
  <w:style w:type="character" w:styleId="FollowedHyperlink">
    <w:name w:val="FollowedHyperlink"/>
    <w:basedOn w:val="DefaultParagraphFont"/>
    <w:uiPriority w:val="99"/>
    <w:semiHidden/>
    <w:unhideWhenUsed/>
    <w:rsid w:val="00850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07840">
      <w:bodyDiv w:val="1"/>
      <w:marLeft w:val="0"/>
      <w:marRight w:val="0"/>
      <w:marTop w:val="0"/>
      <w:marBottom w:val="0"/>
      <w:divBdr>
        <w:top w:val="none" w:sz="0" w:space="0" w:color="auto"/>
        <w:left w:val="none" w:sz="0" w:space="0" w:color="auto"/>
        <w:bottom w:val="none" w:sz="0" w:space="0" w:color="auto"/>
        <w:right w:val="none" w:sz="0" w:space="0" w:color="auto"/>
      </w:divBdr>
    </w:div>
    <w:div w:id="929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karl.soros.org/communities/reserves/files/ii.-policies/rapid-response-as-of-10-november-2014.docx/" TargetMode="External"/><Relationship Id="rId4" Type="http://schemas.microsoft.com/office/2007/relationships/stylesWithEffects" Target="stylesWithEffects.xml"/><Relationship Id="rId9" Type="http://schemas.openxmlformats.org/officeDocument/2006/relationships/hyperlink" Target="https://karl.soros.org/communities/reserves/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AB3C7-51E5-4A77-9B2F-7C154A56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Open Society Foundations</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David Knuth</cp:lastModifiedBy>
  <cp:revision>2</cp:revision>
  <cp:lastPrinted>2016-02-29T08:59:00Z</cp:lastPrinted>
  <dcterms:created xsi:type="dcterms:W3CDTF">2016-03-02T13:48:00Z</dcterms:created>
  <dcterms:modified xsi:type="dcterms:W3CDTF">2016-03-02T13:48:00Z</dcterms:modified>
</cp:coreProperties>
</file>