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B17B64" w:rsidTr="0011279D">
        <w:trPr>
          <w:trHeight w:val="350"/>
        </w:trPr>
        <w:tc>
          <w:tcPr>
            <w:tcW w:w="2448" w:type="dxa"/>
            <w:shd w:val="clear" w:color="auto" w:fill="auto"/>
            <w:tcMar>
              <w:top w:w="0" w:type="dxa"/>
              <w:left w:w="108" w:type="dxa"/>
              <w:bottom w:w="0" w:type="dxa"/>
              <w:right w:w="108" w:type="dxa"/>
            </w:tcMar>
            <w:hideMark/>
          </w:tcPr>
          <w:p w:rsidR="00B17B64" w:rsidRPr="003830A8" w:rsidRDefault="00B17B64" w:rsidP="0011279D">
            <w:pPr>
              <w:spacing w:after="0"/>
              <w:rPr>
                <w:rFonts w:ascii="Calibri" w:hAnsi="Calibri"/>
                <w:b/>
                <w:bCs/>
                <w:color w:val="262626"/>
              </w:rPr>
            </w:pPr>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B17B64" w:rsidRPr="003830A8" w:rsidRDefault="004D1392" w:rsidP="0011279D">
            <w:pPr>
              <w:spacing w:after="0"/>
              <w:rPr>
                <w:rFonts w:ascii="Calibri" w:hAnsi="Calibri"/>
                <w:color w:val="262626"/>
                <w:sz w:val="20"/>
                <w:szCs w:val="20"/>
              </w:rPr>
            </w:pPr>
            <w:r>
              <w:rPr>
                <w:rFonts w:ascii="Calibri" w:hAnsi="Calibri"/>
                <w:color w:val="262626"/>
                <w:sz w:val="20"/>
                <w:szCs w:val="20"/>
              </w:rPr>
              <w:t>Fostering a New Era in Global Drug Policy</w:t>
            </w:r>
          </w:p>
        </w:tc>
      </w:tr>
      <w:tr w:rsidR="004D1392" w:rsidTr="0011279D">
        <w:trPr>
          <w:trHeight w:val="20"/>
        </w:trPr>
        <w:tc>
          <w:tcPr>
            <w:tcW w:w="2448" w:type="dxa"/>
            <w:shd w:val="clear" w:color="auto" w:fill="auto"/>
            <w:tcMar>
              <w:top w:w="0" w:type="dxa"/>
              <w:left w:w="108" w:type="dxa"/>
              <w:bottom w:w="0" w:type="dxa"/>
              <w:right w:w="108" w:type="dxa"/>
            </w:tcMar>
          </w:tcPr>
          <w:p w:rsidR="004D1392" w:rsidRPr="003830A8" w:rsidRDefault="004D1392" w:rsidP="0011279D">
            <w:pPr>
              <w:spacing w:after="0"/>
              <w:rPr>
                <w:b/>
                <w:bCs/>
                <w:color w:val="262626"/>
              </w:rPr>
            </w:pPr>
            <w:r>
              <w:rPr>
                <w:b/>
                <w:bCs/>
                <w:color w:val="262626"/>
              </w:rPr>
              <w:t>Proposal/Activity Title</w:t>
            </w:r>
          </w:p>
        </w:tc>
        <w:tc>
          <w:tcPr>
            <w:tcW w:w="7148" w:type="dxa"/>
            <w:gridSpan w:val="3"/>
            <w:shd w:val="clear" w:color="auto" w:fill="auto"/>
            <w:tcMar>
              <w:top w:w="0" w:type="dxa"/>
              <w:left w:w="108" w:type="dxa"/>
              <w:bottom w:w="0" w:type="dxa"/>
              <w:right w:w="108" w:type="dxa"/>
            </w:tcMar>
          </w:tcPr>
          <w:p w:rsidR="004D1392" w:rsidRPr="003830A8" w:rsidRDefault="00010EA8" w:rsidP="0011279D">
            <w:pPr>
              <w:spacing w:after="0"/>
              <w:rPr>
                <w:rFonts w:ascii="Calibri" w:hAnsi="Calibri"/>
                <w:color w:val="262626"/>
                <w:sz w:val="20"/>
                <w:szCs w:val="20"/>
              </w:rPr>
            </w:pPr>
            <w:r>
              <w:rPr>
                <w:color w:val="1F497D"/>
                <w:sz w:val="24"/>
                <w:szCs w:val="24"/>
              </w:rPr>
              <w:t>Ensuring and building upon success at UNGASS2016</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B17B64" w:rsidRPr="003830A8" w:rsidRDefault="005918EA" w:rsidP="0011279D">
            <w:pPr>
              <w:spacing w:after="0"/>
              <w:rPr>
                <w:rFonts w:ascii="Calibri" w:hAnsi="Calibri"/>
                <w:color w:val="262626"/>
                <w:sz w:val="20"/>
                <w:szCs w:val="20"/>
              </w:rPr>
            </w:pPr>
            <w:r>
              <w:rPr>
                <w:rFonts w:ascii="Calibri" w:hAnsi="Calibri"/>
                <w:color w:val="262626"/>
                <w:sz w:val="20"/>
                <w:szCs w:val="20"/>
              </w:rPr>
              <w:t>$400,000</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rPr>
            </w:pPr>
            <w:bookmarkStart w:id="0" w:name="_GoBack"/>
            <w:bookmarkEnd w:id="0"/>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lang w:val="pt-BR"/>
              </w:rPr>
            </w:pP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 xml:space="preserve">GDPP will continue to engage worldwide with partners in the final months of UNGASS, as well as support some efforts to continue with momentum developed post-UNGASS. A large focus of our work will be New York and Vienna focused at this time, supporting public and media engagement with the UNGASS as well as continuing to support efforts to engage and educate member states. Globally, we will continue to support advocacy efforts at national-level where those are developing traction. </w:t>
            </w:r>
          </w:p>
          <w:p w:rsidR="00B17B64" w:rsidRPr="00BD34BF" w:rsidRDefault="00B17B64" w:rsidP="005918EA">
            <w:pPr>
              <w:spacing w:after="0"/>
              <w:rPr>
                <w:rFonts w:ascii="Calibri" w:hAnsi="Calibri"/>
                <w:color w:val="262626"/>
                <w:sz w:val="20"/>
                <w:szCs w:val="20"/>
              </w:rPr>
            </w:pP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5918EA" w:rsidRPr="005918EA" w:rsidRDefault="005918EA" w:rsidP="005918EA">
            <w:pPr>
              <w:spacing w:after="0"/>
              <w:rPr>
                <w:rFonts w:ascii="Calibri" w:hAnsi="Calibri"/>
                <w:color w:val="262626"/>
                <w:sz w:val="20"/>
                <w:szCs w:val="20"/>
              </w:rPr>
            </w:pPr>
            <w:r>
              <w:rPr>
                <w:rFonts w:ascii="Calibri" w:hAnsi="Calibri"/>
                <w:color w:val="262626"/>
                <w:sz w:val="20"/>
                <w:szCs w:val="20"/>
              </w:rPr>
              <w:t>O</w:t>
            </w:r>
            <w:r w:rsidRPr="005918EA">
              <w:rPr>
                <w:rFonts w:ascii="Calibri" w:hAnsi="Calibri"/>
                <w:color w:val="262626"/>
                <w:sz w:val="20"/>
                <w:szCs w:val="20"/>
              </w:rPr>
              <w:t>ur main focus will be on:</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Ongoing support for children/families initiative on drug policy;</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Increased engagement by scientists on drug policy;</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Regional “rooting” and advancement of efforts on policy reform begun in 2015 in Africa and elevation of those voices at key events in the continent;</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Development and support of “on the ground” activities for UNGASS in April.</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Advocacy around policy outcomes of UNGASS.</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Media mobilization in Vienna (CND) and New York (UNGASS).</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Training of journalists in drug policy topics for UNGASS</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Support for engagement and education of New York-based missions, and advocacy with member states in New York, Vienna and Geneva</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 xml:space="preserve">Creating opportunities for engagement and collaboration with UN agencies around topics of children, development, women, etc. </w:t>
            </w:r>
          </w:p>
          <w:p w:rsidR="005918EA" w:rsidRPr="005918EA" w:rsidRDefault="005918EA" w:rsidP="005918EA">
            <w:pPr>
              <w:spacing w:after="0"/>
              <w:rPr>
                <w:rFonts w:ascii="Calibri" w:hAnsi="Calibri"/>
                <w:color w:val="262626"/>
                <w:sz w:val="20"/>
                <w:szCs w:val="20"/>
              </w:rPr>
            </w:pPr>
            <w:r w:rsidRPr="005918EA">
              <w:rPr>
                <w:rFonts w:ascii="Calibri" w:hAnsi="Calibri"/>
                <w:color w:val="262626"/>
                <w:sz w:val="20"/>
                <w:szCs w:val="20"/>
              </w:rPr>
              <w:t>•</w:t>
            </w:r>
            <w:r w:rsidRPr="005918EA">
              <w:rPr>
                <w:rFonts w:ascii="Calibri" w:hAnsi="Calibri"/>
                <w:color w:val="262626"/>
                <w:sz w:val="20"/>
                <w:szCs w:val="20"/>
              </w:rPr>
              <w:tab/>
              <w:t>Building on outcomes and momentum of the movement</w:t>
            </w:r>
          </w:p>
          <w:p w:rsidR="005918EA" w:rsidRPr="005918EA" w:rsidRDefault="005918EA" w:rsidP="005918EA">
            <w:pPr>
              <w:spacing w:after="0"/>
              <w:rPr>
                <w:rFonts w:ascii="Calibri" w:hAnsi="Calibri"/>
                <w:color w:val="262626"/>
                <w:sz w:val="20"/>
                <w:szCs w:val="20"/>
              </w:rPr>
            </w:pPr>
            <w:r>
              <w:rPr>
                <w:rFonts w:ascii="Calibri" w:hAnsi="Calibri"/>
                <w:color w:val="262626"/>
                <w:sz w:val="20"/>
                <w:szCs w:val="20"/>
              </w:rPr>
              <w:br/>
            </w:r>
            <w:r w:rsidRPr="005918EA">
              <w:rPr>
                <w:rFonts w:ascii="Calibri" w:hAnsi="Calibri"/>
                <w:color w:val="262626"/>
                <w:sz w:val="20"/>
                <w:szCs w:val="20"/>
              </w:rPr>
              <w:t xml:space="preserve">GDPP’s continued strategy for UNGASS will advance both objectives of the shared framework. Specifically, our efforts at education, coalition-building, advocacy around policy outcomes, and advancement of voices at key events supports the fracturing of the drug war consensus by increasing the number of governments willing to publicly embrace a more flexible and progressive approach. Our </w:t>
            </w:r>
            <w:proofErr w:type="gramStart"/>
            <w:r w:rsidRPr="005918EA">
              <w:rPr>
                <w:rFonts w:ascii="Calibri" w:hAnsi="Calibri"/>
                <w:color w:val="262626"/>
                <w:sz w:val="20"/>
                <w:szCs w:val="20"/>
              </w:rPr>
              <w:t>efforts over the last year – including supporting education of UN missions and convening of member states in Cartagena – has</w:t>
            </w:r>
            <w:proofErr w:type="gramEnd"/>
            <w:r w:rsidRPr="005918EA">
              <w:rPr>
                <w:rFonts w:ascii="Calibri" w:hAnsi="Calibri"/>
                <w:color w:val="262626"/>
                <w:sz w:val="20"/>
                <w:szCs w:val="20"/>
              </w:rPr>
              <w:t xml:space="preserve"> moved the global dialogue towards reform. Our work in 2016 will continue in this area.</w:t>
            </w:r>
          </w:p>
          <w:p w:rsidR="005918EA" w:rsidRPr="005918EA" w:rsidRDefault="005918EA" w:rsidP="005918EA">
            <w:pPr>
              <w:spacing w:after="0"/>
              <w:rPr>
                <w:rFonts w:ascii="Calibri" w:hAnsi="Calibri"/>
                <w:color w:val="262626"/>
                <w:sz w:val="20"/>
                <w:szCs w:val="20"/>
              </w:rPr>
            </w:pPr>
            <w:r>
              <w:rPr>
                <w:rFonts w:ascii="Calibri" w:hAnsi="Calibri"/>
                <w:color w:val="262626"/>
                <w:sz w:val="20"/>
                <w:szCs w:val="20"/>
              </w:rPr>
              <w:br/>
            </w:r>
            <w:r w:rsidRPr="005918EA">
              <w:rPr>
                <w:rFonts w:ascii="Calibri" w:hAnsi="Calibri"/>
                <w:color w:val="262626"/>
                <w:sz w:val="20"/>
                <w:szCs w:val="20"/>
              </w:rPr>
              <w:t>We continue to engage African and Latin American countries on approaches to support decriminalization and harm reduction. In 2016 we will work with UN agencies to further advocate for inclusion in the drug policy debates.</w:t>
            </w:r>
          </w:p>
          <w:p w:rsidR="00B17B64" w:rsidRPr="00BD34BF" w:rsidRDefault="005918EA" w:rsidP="005918EA">
            <w:pPr>
              <w:spacing w:after="0"/>
              <w:rPr>
                <w:rFonts w:ascii="Calibri" w:hAnsi="Calibri"/>
                <w:color w:val="262626"/>
                <w:sz w:val="20"/>
                <w:szCs w:val="20"/>
              </w:rPr>
            </w:pPr>
            <w:r w:rsidRPr="005918EA">
              <w:rPr>
                <w:rFonts w:ascii="Calibri" w:hAnsi="Calibri"/>
                <w:color w:val="262626"/>
                <w:sz w:val="20"/>
                <w:szCs w:val="20"/>
              </w:rPr>
              <w:t xml:space="preserve">With respect to the second objective, GDPP will continue to expand the range of civil society allies calling for reform and engage the public around issues such as decriminalization, regulation, and harm reduction. Specifically, our program will </w:t>
            </w:r>
            <w:r w:rsidRPr="005918EA">
              <w:rPr>
                <w:rFonts w:ascii="Calibri" w:hAnsi="Calibri"/>
                <w:color w:val="262626"/>
                <w:sz w:val="20"/>
                <w:szCs w:val="20"/>
              </w:rPr>
              <w:lastRenderedPageBreak/>
              <w:t>continue to lead on the children/youth piece and the engagement of scientists. In 2016, a large part of our efforts (in coordination with other OSF programs) will go towards global media communications and supporting on-the-ground activities in New York and globally during the UNGASS week.</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lastRenderedPageBreak/>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5918EA" w:rsidP="005918EA">
            <w:pPr>
              <w:spacing w:after="0"/>
              <w:rPr>
                <w:rFonts w:ascii="Calibri" w:hAnsi="Calibri"/>
                <w:sz w:val="20"/>
                <w:szCs w:val="20"/>
              </w:rPr>
            </w:pPr>
            <w:r>
              <w:rPr>
                <w:rFonts w:ascii="Calibri" w:hAnsi="Calibri"/>
                <w:sz w:val="20"/>
                <w:szCs w:val="20"/>
              </w:rPr>
              <w:t xml:space="preserve">In the final stages of UNGASS preparation and building on the momentum achieved from that meeting, </w:t>
            </w:r>
            <w:r w:rsidRPr="005918EA">
              <w:rPr>
                <w:rFonts w:ascii="Calibri" w:hAnsi="Calibri"/>
                <w:sz w:val="20"/>
                <w:szCs w:val="20"/>
              </w:rPr>
              <w:t xml:space="preserve">GDPP </w:t>
            </w:r>
            <w:r>
              <w:rPr>
                <w:rFonts w:ascii="Calibri" w:hAnsi="Calibri"/>
                <w:sz w:val="20"/>
                <w:szCs w:val="20"/>
              </w:rPr>
              <w:t xml:space="preserve">continues </w:t>
            </w:r>
            <w:r w:rsidRPr="005918EA">
              <w:rPr>
                <w:rFonts w:ascii="Calibri" w:hAnsi="Calibri"/>
                <w:sz w:val="20"/>
                <w:szCs w:val="20"/>
              </w:rPr>
              <w:t xml:space="preserve">to engage worldwide with </w:t>
            </w:r>
            <w:r>
              <w:rPr>
                <w:rFonts w:ascii="Calibri" w:hAnsi="Calibri"/>
                <w:sz w:val="20"/>
                <w:szCs w:val="20"/>
              </w:rPr>
              <w:t xml:space="preserve">existing and new </w:t>
            </w:r>
            <w:r w:rsidRPr="005918EA">
              <w:rPr>
                <w:rFonts w:ascii="Calibri" w:hAnsi="Calibri"/>
                <w:sz w:val="20"/>
                <w:szCs w:val="20"/>
              </w:rPr>
              <w:t>partners. A large focus of our work will be New York and Vienna focused at this time, supporting public and media engagement with the UNGASS as well as continuing to support efforts to engage and educate member states. Globally, we will continue to support advocacy efforts at national-level where those are developing traction</w:t>
            </w:r>
            <w:r>
              <w:rPr>
                <w:rFonts w:ascii="Calibri" w:hAnsi="Calibri"/>
                <w:sz w:val="20"/>
                <w:szCs w:val="20"/>
              </w:rPr>
              <w:t xml:space="preserve"> and supporting development of regional networks around drug policy advocacy</w:t>
            </w:r>
            <w:r w:rsidRPr="005918EA">
              <w:rPr>
                <w:rFonts w:ascii="Calibri" w:hAnsi="Calibri"/>
                <w:sz w:val="20"/>
                <w:szCs w:val="20"/>
              </w:rPr>
              <w:t>.</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Collaborating Program</w:t>
            </w:r>
            <w:r w:rsidR="004D1392">
              <w:rPr>
                <w:b/>
                <w:bCs/>
                <w:color w:val="262626"/>
              </w:rPr>
              <w:t>(</w:t>
            </w:r>
            <w:r w:rsidRPr="003830A8">
              <w:rPr>
                <w:b/>
                <w:bCs/>
                <w:color w:val="262626"/>
              </w:rPr>
              <w:t>s</w:t>
            </w:r>
            <w:r w:rsidR="004D1392">
              <w:rPr>
                <w:b/>
                <w:bCs/>
                <w:color w:val="262626"/>
              </w:rPr>
              <w:t>)</w:t>
            </w:r>
            <w:r w:rsidRPr="003830A8">
              <w:rPr>
                <w:b/>
                <w:bCs/>
                <w:color w:val="262626"/>
              </w:rPr>
              <w:t xml:space="preserve">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Default="005918EA" w:rsidP="0011279D">
            <w:pPr>
              <w:spacing w:after="0"/>
              <w:rPr>
                <w:rFonts w:ascii="Calibri" w:hAnsi="Calibri"/>
                <w:sz w:val="20"/>
                <w:szCs w:val="20"/>
              </w:rPr>
            </w:pPr>
            <w:r>
              <w:rPr>
                <w:rFonts w:ascii="Calibri" w:hAnsi="Calibri"/>
                <w:sz w:val="20"/>
                <w:szCs w:val="20"/>
              </w:rPr>
              <w:t xml:space="preserve">OSF: IHRD, LAP, OSIWA, OSIEA, OSISA, WRP, USP, DC, OSIFE, </w:t>
            </w:r>
            <w:proofErr w:type="spellStart"/>
            <w:r>
              <w:rPr>
                <w:rFonts w:ascii="Calibri" w:hAnsi="Calibri"/>
                <w:sz w:val="20"/>
                <w:szCs w:val="20"/>
              </w:rPr>
              <w:t>etc</w:t>
            </w:r>
            <w:proofErr w:type="spellEnd"/>
            <w:r>
              <w:rPr>
                <w:rFonts w:ascii="Calibri" w:hAnsi="Calibri"/>
                <w:sz w:val="20"/>
                <w:szCs w:val="20"/>
              </w:rPr>
              <w:t>,</w:t>
            </w:r>
            <w:r>
              <w:rPr>
                <w:rFonts w:ascii="Calibri" w:hAnsi="Calibri"/>
                <w:sz w:val="20"/>
                <w:szCs w:val="20"/>
              </w:rPr>
              <w:br/>
            </w:r>
          </w:p>
          <w:p w:rsidR="005918EA" w:rsidRPr="003830A8" w:rsidRDefault="005918EA" w:rsidP="005918EA">
            <w:pPr>
              <w:spacing w:after="0"/>
              <w:rPr>
                <w:rFonts w:ascii="Calibri" w:hAnsi="Calibri"/>
                <w:sz w:val="20"/>
                <w:szCs w:val="20"/>
              </w:rPr>
            </w:pPr>
            <w:r>
              <w:rPr>
                <w:rFonts w:ascii="Calibri" w:hAnsi="Calibri"/>
                <w:sz w:val="20"/>
                <w:szCs w:val="20"/>
              </w:rPr>
              <w:t>External: International Drug Policy Consortium, Transnational Institute, Transform, Canadian Drug Policy Coalition, Harm Reduction International, Citizen Engagement Lab, UN University.</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Contributions expected from Collaborating Program</w:t>
            </w:r>
            <w:r w:rsidR="004D1392">
              <w:rPr>
                <w:b/>
                <w:bCs/>
                <w:color w:val="262626"/>
              </w:rPr>
              <w:t>(</w:t>
            </w:r>
            <w:r w:rsidRPr="003830A8">
              <w:rPr>
                <w:b/>
                <w:bCs/>
                <w:color w:val="262626"/>
              </w:rPr>
              <w:t>s</w:t>
            </w:r>
            <w:r w:rsidR="004D1392">
              <w:rPr>
                <w:b/>
                <w:bCs/>
                <w:color w:val="262626"/>
              </w:rPr>
              <w:t>)</w:t>
            </w:r>
            <w:r w:rsidRPr="003830A8">
              <w:rPr>
                <w:b/>
                <w:bCs/>
                <w:color w:val="262626"/>
              </w:rPr>
              <w:t xml:space="preserve">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5918EA" w:rsidP="0011279D">
            <w:pPr>
              <w:spacing w:after="0"/>
              <w:rPr>
                <w:rFonts w:ascii="Calibri" w:hAnsi="Calibri"/>
                <w:sz w:val="20"/>
                <w:szCs w:val="20"/>
              </w:rPr>
            </w:pPr>
            <w:r>
              <w:rPr>
                <w:rFonts w:ascii="Calibri" w:hAnsi="Calibri"/>
                <w:sz w:val="20"/>
                <w:szCs w:val="20"/>
              </w:rPr>
              <w:t>GDPP will itself contribute roughly $350,000 in funding as well as significant staff time to this endeavor. Collaborating programs will provide funding and staff time to engage on projects as needed.</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Statement of who within OSF would guide the work</w:t>
            </w:r>
            <w:r w:rsidR="004D1392">
              <w:rPr>
                <w:b/>
                <w:bCs/>
                <w:color w:val="262626"/>
              </w:rPr>
              <w:t xml:space="preserve"> (</w:t>
            </w:r>
            <w:r w:rsidR="004D1392" w:rsidRPr="004D1392">
              <w:rPr>
                <w:b/>
                <w:bCs/>
                <w:color w:val="262626"/>
                <w:u w:val="single"/>
              </w:rPr>
              <w:t>Point of Contact</w:t>
            </w:r>
            <w:r w:rsidR="004D1392">
              <w:rPr>
                <w:b/>
                <w:bCs/>
                <w:color w:val="262626"/>
              </w:rPr>
              <w:t>)</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5918EA" w:rsidP="0011279D">
            <w:pPr>
              <w:spacing w:after="0"/>
              <w:rPr>
                <w:rFonts w:ascii="Calibri" w:hAnsi="Calibri"/>
                <w:sz w:val="20"/>
                <w:szCs w:val="20"/>
              </w:rPr>
            </w:pPr>
            <w:r>
              <w:rPr>
                <w:rFonts w:ascii="Calibri" w:hAnsi="Calibri"/>
                <w:sz w:val="20"/>
                <w:szCs w:val="20"/>
              </w:rPr>
              <w:t>Scott Bernstein, GDPP</w:t>
            </w:r>
          </w:p>
        </w:tc>
      </w:tr>
      <w:tr w:rsidR="00B17B64" w:rsidTr="0011279D">
        <w:trPr>
          <w:trHeight w:val="169"/>
        </w:trPr>
        <w:tc>
          <w:tcPr>
            <w:tcW w:w="2448" w:type="dxa"/>
            <w:tcBorders>
              <w:left w:val="nil"/>
              <w:right w:val="nil"/>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B17B64" w:rsidRPr="003830A8" w:rsidRDefault="00B17B64" w:rsidP="0011279D">
            <w:pPr>
              <w:spacing w:after="0"/>
              <w:rPr>
                <w:rFonts w:ascii="Calibri" w:hAnsi="Calibri"/>
                <w:sz w:val="20"/>
                <w:szCs w:val="20"/>
              </w:rPr>
            </w:pPr>
          </w:p>
        </w:tc>
      </w:tr>
      <w:tr w:rsidR="00B17B64" w:rsidRPr="00AD6D6B" w:rsidTr="00DB46B2">
        <w:trPr>
          <w:trHeight w:val="229"/>
        </w:trPr>
        <w:tc>
          <w:tcPr>
            <w:tcW w:w="2448" w:type="dxa"/>
            <w:vMerge w:val="restart"/>
            <w:shd w:val="clear" w:color="auto" w:fill="CCFFCC"/>
            <w:tcMar>
              <w:top w:w="0" w:type="dxa"/>
              <w:left w:w="108" w:type="dxa"/>
              <w:bottom w:w="0" w:type="dxa"/>
              <w:right w:w="108" w:type="dxa"/>
            </w:tcMar>
            <w:hideMark/>
          </w:tcPr>
          <w:p w:rsidR="00B17B64" w:rsidRPr="003830A8" w:rsidRDefault="00B17B64" w:rsidP="0011279D">
            <w:pPr>
              <w:spacing w:after="0"/>
              <w:rPr>
                <w:b/>
                <w:bCs/>
                <w:color w:val="262626"/>
              </w:rPr>
            </w:pPr>
            <w:r w:rsidRPr="003830A8">
              <w:rPr>
                <w:b/>
                <w:bCs/>
                <w:color w:val="262626"/>
              </w:rPr>
              <w:t>Approver (Lead)</w:t>
            </w:r>
          </w:p>
          <w:p w:rsidR="00B17B64" w:rsidRPr="003830A8" w:rsidRDefault="00B17B64" w:rsidP="0011279D">
            <w:pPr>
              <w:spacing w:after="0"/>
              <w:rPr>
                <w:bCs/>
                <w:i/>
                <w:color w:val="262626"/>
                <w:sz w:val="16"/>
                <w:szCs w:val="16"/>
              </w:rPr>
            </w:pPr>
            <w:r w:rsidRPr="003830A8">
              <w:rPr>
                <w:bCs/>
                <w:i/>
                <w:color w:val="262626"/>
                <w:sz w:val="16"/>
                <w:szCs w:val="16"/>
              </w:rPr>
              <w:t xml:space="preserve">(See list on </w:t>
            </w:r>
            <w:hyperlink r:id="rId9"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CCFFCC"/>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CCFFCC"/>
          </w:tcPr>
          <w:p w:rsidR="00B17B64" w:rsidRPr="005166D7" w:rsidRDefault="00A10454" w:rsidP="0011279D">
            <w:pPr>
              <w:spacing w:after="0"/>
              <w:rPr>
                <w:rFonts w:ascii="Calibri" w:hAnsi="Calibri"/>
                <w:color w:val="262626"/>
                <w:sz w:val="20"/>
                <w:szCs w:val="20"/>
              </w:rPr>
            </w:pPr>
            <w:r>
              <w:rPr>
                <w:rFonts w:ascii="Calibri" w:hAnsi="Calibri"/>
                <w:color w:val="262626"/>
                <w:sz w:val="20"/>
                <w:szCs w:val="20"/>
              </w:rPr>
              <w:t xml:space="preserve"> </w:t>
            </w:r>
            <w:r w:rsidRPr="005166D7">
              <w:rPr>
                <w:rFonts w:ascii="Calibri" w:hAnsi="Calibri"/>
                <w:color w:val="262626"/>
                <w:sz w:val="20"/>
                <w:szCs w:val="20"/>
              </w:rPr>
              <w:t>Leonard Noisette</w:t>
            </w:r>
          </w:p>
        </w:tc>
      </w:tr>
      <w:tr w:rsidR="00B17B64" w:rsidRPr="00AD6D6B" w:rsidTr="00DB46B2">
        <w:trPr>
          <w:trHeight w:val="273"/>
        </w:trPr>
        <w:tc>
          <w:tcPr>
            <w:tcW w:w="2448" w:type="dxa"/>
            <w:vMerge/>
            <w:shd w:val="clear" w:color="auto" w:fill="CCFFCC"/>
            <w:tcMar>
              <w:top w:w="0" w:type="dxa"/>
              <w:left w:w="108" w:type="dxa"/>
              <w:bottom w:w="0" w:type="dxa"/>
              <w:right w:w="108" w:type="dxa"/>
            </w:tcMar>
          </w:tcPr>
          <w:p w:rsidR="00B17B64" w:rsidRPr="003830A8" w:rsidRDefault="00B17B64" w:rsidP="0011279D">
            <w:pPr>
              <w:spacing w:after="0"/>
              <w:rPr>
                <w:b/>
                <w:bCs/>
                <w:color w:val="262626"/>
              </w:rPr>
            </w:pPr>
          </w:p>
        </w:tc>
        <w:tc>
          <w:tcPr>
            <w:tcW w:w="1525" w:type="dxa"/>
            <w:shd w:val="clear" w:color="auto" w:fill="CCFFCC"/>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CCFFCC"/>
          </w:tcPr>
          <w:p w:rsidR="00B17B64" w:rsidRPr="003830A8" w:rsidRDefault="006D39E6" w:rsidP="0011279D">
            <w:pPr>
              <w:spacing w:after="0"/>
              <w:rPr>
                <w:rFonts w:ascii="Calibri" w:hAnsi="Calibri"/>
                <w:color w:val="262626"/>
                <w:sz w:val="20"/>
                <w:szCs w:val="20"/>
              </w:rPr>
            </w:pPr>
            <w:r>
              <w:rPr>
                <w:rFonts w:ascii="Calibri" w:hAnsi="Calibri"/>
                <w:color w:val="262626"/>
                <w:sz w:val="20"/>
                <w:szCs w:val="20"/>
              </w:rPr>
              <w:t>1/14/2016</w:t>
            </w:r>
          </w:p>
        </w:tc>
      </w:tr>
      <w:tr w:rsidR="00B17B64" w:rsidRPr="00AD6D6B" w:rsidTr="0011279D">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B17B64" w:rsidRDefault="00B17B64" w:rsidP="0011279D">
            <w:pPr>
              <w:spacing w:after="0"/>
              <w:rPr>
                <w:b/>
                <w:bCs/>
                <w:color w:val="262626"/>
              </w:rPr>
            </w:pPr>
            <w:r>
              <w:rPr>
                <w:b/>
                <w:bCs/>
                <w:color w:val="262626"/>
              </w:rPr>
              <w:t>Approver (Lead) Notes / Comments (Optional)</w:t>
            </w:r>
          </w:p>
          <w:p w:rsidR="00B17B64" w:rsidRDefault="00B17B64" w:rsidP="0011279D">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B17B64" w:rsidRPr="00AD6D6B" w:rsidRDefault="00B17B64" w:rsidP="0011279D">
            <w:pPr>
              <w:spacing w:after="0"/>
              <w:rPr>
                <w:rFonts w:ascii="Calibri" w:hAnsi="Calibri"/>
                <w:color w:val="262626"/>
                <w:sz w:val="20"/>
                <w:szCs w:val="20"/>
              </w:rPr>
            </w:pPr>
          </w:p>
        </w:tc>
      </w:tr>
      <w:tr w:rsidR="00B17B64" w:rsidRPr="00AD6D6B" w:rsidTr="0011279D">
        <w:trPr>
          <w:trHeight w:val="511"/>
        </w:trPr>
        <w:tc>
          <w:tcPr>
            <w:tcW w:w="2448" w:type="dxa"/>
            <w:tcMar>
              <w:top w:w="0" w:type="dxa"/>
              <w:left w:w="108" w:type="dxa"/>
              <w:bottom w:w="0" w:type="dxa"/>
              <w:right w:w="108" w:type="dxa"/>
            </w:tcMar>
          </w:tcPr>
          <w:p w:rsidR="00B17B64" w:rsidRDefault="00B17B64" w:rsidP="0011279D">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B17B64" w:rsidRPr="00AD6D6B" w:rsidRDefault="00000465" w:rsidP="0011279D">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B17B64">
                  <w:rPr>
                    <w:rFonts w:ascii="MS Gothic" w:eastAsia="MS Gothic" w:hAnsi="MS Gothic" w:hint="eastAsia"/>
                    <w:sz w:val="20"/>
                    <w:szCs w:val="20"/>
                  </w:rPr>
                  <w:t>☒</w:t>
                </w:r>
              </w:sdtContent>
            </w:sdt>
            <w:r w:rsidR="00B17B64">
              <w:rPr>
                <w:sz w:val="20"/>
                <w:szCs w:val="20"/>
              </w:rPr>
              <w:t xml:space="preserve"> </w:t>
            </w:r>
            <w:r w:rsidR="00B17B64" w:rsidRPr="00411B69">
              <w:rPr>
                <w:b/>
                <w:sz w:val="20"/>
                <w:szCs w:val="20"/>
                <w:u w:val="single"/>
              </w:rPr>
              <w:t>Not</w:t>
            </w:r>
            <w:r w:rsidR="00B17B64">
              <w:rPr>
                <w:sz w:val="20"/>
                <w:szCs w:val="20"/>
              </w:rPr>
              <w:t xml:space="preserve"> Rapid Response </w:t>
            </w:r>
          </w:p>
        </w:tc>
        <w:tc>
          <w:tcPr>
            <w:tcW w:w="3574" w:type="dxa"/>
            <w:vAlign w:val="cente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10" w:history="1">
              <w:r w:rsidRPr="00411B69">
                <w:rPr>
                  <w:rStyle w:val="Hyperlink"/>
                  <w:bCs/>
                  <w:i/>
                  <w:sz w:val="16"/>
                  <w:szCs w:val="16"/>
                </w:rPr>
                <w:t>KARL</w:t>
              </w:r>
            </w:hyperlink>
            <w:r>
              <w:rPr>
                <w:bCs/>
                <w:i/>
                <w:color w:val="262626"/>
                <w:sz w:val="16"/>
                <w:szCs w:val="16"/>
              </w:rPr>
              <w:t>)</w:t>
            </w:r>
          </w:p>
        </w:tc>
      </w:tr>
      <w:tr w:rsidR="00B17B64" w:rsidRPr="00AD6D6B" w:rsidTr="0011279D">
        <w:trPr>
          <w:trHeight w:val="287"/>
        </w:trPr>
        <w:tc>
          <w:tcPr>
            <w:tcW w:w="2448" w:type="dxa"/>
            <w:vMerge w:val="restart"/>
            <w:tcMar>
              <w:top w:w="0" w:type="dxa"/>
              <w:left w:w="108" w:type="dxa"/>
              <w:bottom w:w="0" w:type="dxa"/>
              <w:right w:w="108" w:type="dxa"/>
            </w:tcMar>
          </w:tcPr>
          <w:p w:rsidR="00B17B64" w:rsidRDefault="00B17B64" w:rsidP="0011279D">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B17B64" w:rsidRPr="006512F6" w:rsidRDefault="00B17B64" w:rsidP="0011279D">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Amount</w:t>
            </w:r>
          </w:p>
        </w:tc>
        <w:tc>
          <w:tcPr>
            <w:tcW w:w="3574" w:type="dxa"/>
          </w:tcPr>
          <w:p w:rsidR="00B17B64" w:rsidRPr="00AD6D6B" w:rsidRDefault="005918EA" w:rsidP="0011279D">
            <w:pPr>
              <w:pStyle w:val="ColorfulList-Accent11"/>
              <w:spacing w:after="0" w:line="240" w:lineRule="auto"/>
              <w:ind w:left="0"/>
              <w:rPr>
                <w:sz w:val="20"/>
                <w:szCs w:val="20"/>
              </w:rPr>
            </w:pPr>
            <w:r>
              <w:rPr>
                <w:sz w:val="20"/>
                <w:szCs w:val="20"/>
              </w:rPr>
              <w:t>$400,000</w:t>
            </w:r>
          </w:p>
        </w:tc>
      </w:tr>
      <w:tr w:rsidR="00B17B64" w:rsidRPr="00AD6D6B"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Category of Work</w:t>
            </w:r>
          </w:p>
        </w:tc>
        <w:tc>
          <w:tcPr>
            <w:tcW w:w="3574" w:type="dxa"/>
          </w:tcPr>
          <w:p w:rsidR="00B17B64" w:rsidRPr="00CF5473" w:rsidRDefault="00CF5473" w:rsidP="0011279D">
            <w:pPr>
              <w:pStyle w:val="ColorfulList-Accent11"/>
              <w:spacing w:after="0" w:line="240" w:lineRule="auto"/>
              <w:ind w:left="0"/>
              <w:rPr>
                <w:b/>
                <w:sz w:val="20"/>
                <w:szCs w:val="20"/>
              </w:rPr>
            </w:pPr>
            <w:r w:rsidRPr="00CF5473">
              <w:rPr>
                <w:b/>
                <w:sz w:val="20"/>
                <w:szCs w:val="20"/>
              </w:rPr>
              <w:t>DXXS000</w:t>
            </w:r>
          </w:p>
        </w:tc>
      </w:tr>
      <w:tr w:rsidR="00B17B64" w:rsidRPr="00AD6D6B" w:rsidTr="0011279D">
        <w:trPr>
          <w:trHeight w:val="287"/>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Division/Program Code</w:t>
            </w:r>
          </w:p>
        </w:tc>
        <w:tc>
          <w:tcPr>
            <w:tcW w:w="3574" w:type="dxa"/>
          </w:tcPr>
          <w:p w:rsidR="00B17B64" w:rsidRPr="00AD6D6B" w:rsidRDefault="005918EA" w:rsidP="0011279D">
            <w:pPr>
              <w:pStyle w:val="ColorfulList-Accent11"/>
              <w:spacing w:after="0" w:line="240" w:lineRule="auto"/>
              <w:ind w:left="0"/>
              <w:rPr>
                <w:sz w:val="20"/>
                <w:szCs w:val="20"/>
              </w:rPr>
            </w:pPr>
            <w:r>
              <w:rPr>
                <w:sz w:val="20"/>
                <w:szCs w:val="20"/>
              </w:rPr>
              <w:t>GDP Program</w:t>
            </w:r>
          </w:p>
        </w:tc>
      </w:tr>
      <w:tr w:rsidR="00B17B64" w:rsidRPr="00BD34BF"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BD34BF" w:rsidRDefault="00B17B64" w:rsidP="0011279D">
            <w:pPr>
              <w:pStyle w:val="ColorfulList-Accent11"/>
              <w:spacing w:after="0" w:line="240" w:lineRule="auto"/>
              <w:ind w:left="0"/>
              <w:rPr>
                <w:sz w:val="20"/>
                <w:szCs w:val="20"/>
                <w:lang w:val="pt-BR"/>
              </w:rPr>
            </w:pPr>
            <w:r w:rsidRPr="00BD34BF">
              <w:rPr>
                <w:sz w:val="20"/>
                <w:szCs w:val="20"/>
                <w:lang w:val="pt-BR"/>
              </w:rPr>
              <w:t xml:space="preserve">Entity </w:t>
            </w:r>
            <w:r w:rsidRPr="00BD34BF">
              <w:rPr>
                <w:i/>
                <w:sz w:val="20"/>
                <w:szCs w:val="20"/>
                <w:lang w:val="pt-BR"/>
              </w:rPr>
              <w:t>(i.e., FPOS, ZUG)</w:t>
            </w:r>
          </w:p>
        </w:tc>
        <w:tc>
          <w:tcPr>
            <w:tcW w:w="3574" w:type="dxa"/>
          </w:tcPr>
          <w:p w:rsidR="00B17B64" w:rsidRPr="00BD34BF" w:rsidRDefault="005918EA" w:rsidP="0011279D">
            <w:pPr>
              <w:pStyle w:val="ColorfulList-Accent11"/>
              <w:spacing w:after="0" w:line="240" w:lineRule="auto"/>
              <w:ind w:left="0"/>
              <w:rPr>
                <w:sz w:val="20"/>
                <w:szCs w:val="20"/>
                <w:lang w:val="pt-BR"/>
              </w:rPr>
            </w:pPr>
            <w:r>
              <w:rPr>
                <w:sz w:val="20"/>
                <w:szCs w:val="20"/>
                <w:lang w:val="pt-BR"/>
              </w:rPr>
              <w:t>FPOS</w:t>
            </w:r>
          </w:p>
        </w:tc>
      </w:tr>
      <w:tr w:rsidR="00B17B64" w:rsidRPr="00AD6D6B" w:rsidTr="0011279D">
        <w:trPr>
          <w:trHeight w:val="287"/>
        </w:trPr>
        <w:tc>
          <w:tcPr>
            <w:tcW w:w="2448" w:type="dxa"/>
            <w:vMerge/>
            <w:tcMar>
              <w:top w:w="0" w:type="dxa"/>
              <w:left w:w="108" w:type="dxa"/>
              <w:bottom w:w="0" w:type="dxa"/>
              <w:right w:w="108" w:type="dxa"/>
            </w:tcMar>
          </w:tcPr>
          <w:p w:rsidR="00B17B64" w:rsidRPr="00BD34BF" w:rsidRDefault="00B17B64" w:rsidP="0011279D">
            <w:pPr>
              <w:spacing w:after="0"/>
              <w:rPr>
                <w:b/>
                <w:bCs/>
                <w:color w:val="262626"/>
                <w:lang w:val="pt-BR"/>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B17B64" w:rsidRPr="00AD6D6B" w:rsidRDefault="005918EA" w:rsidP="0011279D">
            <w:pPr>
              <w:pStyle w:val="ColorfulList-Accent11"/>
              <w:spacing w:after="0" w:line="240" w:lineRule="auto"/>
              <w:ind w:left="0"/>
              <w:rPr>
                <w:sz w:val="20"/>
                <w:szCs w:val="20"/>
              </w:rPr>
            </w:pPr>
            <w:r>
              <w:rPr>
                <w:sz w:val="20"/>
                <w:szCs w:val="20"/>
              </w:rPr>
              <w:t>Non-</w:t>
            </w:r>
            <w:r w:rsidR="00692F18">
              <w:rPr>
                <w:sz w:val="20"/>
                <w:szCs w:val="20"/>
              </w:rPr>
              <w:t>lobbying</w:t>
            </w:r>
          </w:p>
        </w:tc>
      </w:tr>
      <w:tr w:rsidR="00B17B64" w:rsidRPr="00AD6D6B"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B17B64" w:rsidRPr="00AD6D6B" w:rsidRDefault="005918EA" w:rsidP="0011279D">
            <w:pPr>
              <w:pStyle w:val="ColorfulList-Accent11"/>
              <w:spacing w:after="0" w:line="240" w:lineRule="auto"/>
              <w:ind w:left="0"/>
              <w:rPr>
                <w:sz w:val="20"/>
                <w:szCs w:val="20"/>
              </w:rPr>
            </w:pPr>
            <w:r>
              <w:rPr>
                <w:sz w:val="20"/>
                <w:szCs w:val="20"/>
              </w:rPr>
              <w:t>Global</w:t>
            </w:r>
          </w:p>
        </w:tc>
      </w:tr>
    </w:tbl>
    <w:p w:rsidR="00414548" w:rsidRDefault="00414548" w:rsidP="004D1392">
      <w:pPr>
        <w:spacing w:after="0"/>
        <w:jc w:val="center"/>
      </w:pPr>
    </w:p>
    <w:sectPr w:rsidR="0041454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65" w:rsidRDefault="00000465" w:rsidP="00141897">
      <w:pPr>
        <w:spacing w:after="0" w:line="240" w:lineRule="auto"/>
      </w:pPr>
      <w:r>
        <w:separator/>
      </w:r>
    </w:p>
  </w:endnote>
  <w:endnote w:type="continuationSeparator" w:id="0">
    <w:p w:rsidR="00000465" w:rsidRDefault="00000465" w:rsidP="0014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C1" w:rsidRDefault="00AE57C1" w:rsidP="00AE57C1">
    <w:pPr>
      <w:pStyle w:val="Footer"/>
      <w:jc w:val="right"/>
    </w:pPr>
    <w:r>
      <w:t>19-May-15</w:t>
    </w:r>
  </w:p>
  <w:p w:rsidR="00AE57C1" w:rsidRDefault="00AE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65" w:rsidRDefault="00000465" w:rsidP="00141897">
      <w:pPr>
        <w:spacing w:after="0" w:line="240" w:lineRule="auto"/>
      </w:pPr>
      <w:r>
        <w:separator/>
      </w:r>
    </w:p>
  </w:footnote>
  <w:footnote w:type="continuationSeparator" w:id="0">
    <w:p w:rsidR="00000465" w:rsidRDefault="00000465" w:rsidP="00141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92" w:rsidRPr="004D1392" w:rsidRDefault="004D1392" w:rsidP="004D1392">
    <w:pPr>
      <w:pStyle w:val="Header"/>
      <w:jc w:val="center"/>
      <w:rPr>
        <w:b/>
      </w:rPr>
    </w:pPr>
    <w:r w:rsidRPr="004D1392">
      <w:rPr>
        <w:b/>
      </w:rPr>
      <w:t>Budget Allocation Template: Drug Policy Shared Framework</w:t>
    </w:r>
  </w:p>
  <w:p w:rsidR="004D1392" w:rsidRDefault="004D1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23.25pt;visibility:visible;mso-wrap-style:square" o:bullet="t">
        <v:imagedata r:id="rId1" o:title=""/>
      </v:shape>
    </w:pict>
  </w:numPicBullet>
  <w:abstractNum w:abstractNumId="0">
    <w:nsid w:val="2F562A38"/>
    <w:multiLevelType w:val="hybridMultilevel"/>
    <w:tmpl w:val="DCF6732C"/>
    <w:lvl w:ilvl="0" w:tplc="CA8E5FC6">
      <w:start w:val="1"/>
      <w:numFmt w:val="bullet"/>
      <w:lvlText w:val=""/>
      <w:lvlPicBulletId w:val="0"/>
      <w:lvlJc w:val="left"/>
      <w:pPr>
        <w:tabs>
          <w:tab w:val="num" w:pos="720"/>
        </w:tabs>
        <w:ind w:left="720" w:hanging="360"/>
      </w:pPr>
      <w:rPr>
        <w:rFonts w:ascii="Symbol" w:hAnsi="Symbol" w:hint="default"/>
      </w:rPr>
    </w:lvl>
    <w:lvl w:ilvl="1" w:tplc="A0100612" w:tentative="1">
      <w:start w:val="1"/>
      <w:numFmt w:val="bullet"/>
      <w:lvlText w:val=""/>
      <w:lvlJc w:val="left"/>
      <w:pPr>
        <w:tabs>
          <w:tab w:val="num" w:pos="1440"/>
        </w:tabs>
        <w:ind w:left="1440" w:hanging="360"/>
      </w:pPr>
      <w:rPr>
        <w:rFonts w:ascii="Symbol" w:hAnsi="Symbol" w:hint="default"/>
      </w:rPr>
    </w:lvl>
    <w:lvl w:ilvl="2" w:tplc="55DA1BEC" w:tentative="1">
      <w:start w:val="1"/>
      <w:numFmt w:val="bullet"/>
      <w:lvlText w:val=""/>
      <w:lvlJc w:val="left"/>
      <w:pPr>
        <w:tabs>
          <w:tab w:val="num" w:pos="2160"/>
        </w:tabs>
        <w:ind w:left="2160" w:hanging="360"/>
      </w:pPr>
      <w:rPr>
        <w:rFonts w:ascii="Symbol" w:hAnsi="Symbol" w:hint="default"/>
      </w:rPr>
    </w:lvl>
    <w:lvl w:ilvl="3" w:tplc="A1A023E6" w:tentative="1">
      <w:start w:val="1"/>
      <w:numFmt w:val="bullet"/>
      <w:lvlText w:val=""/>
      <w:lvlJc w:val="left"/>
      <w:pPr>
        <w:tabs>
          <w:tab w:val="num" w:pos="2880"/>
        </w:tabs>
        <w:ind w:left="2880" w:hanging="360"/>
      </w:pPr>
      <w:rPr>
        <w:rFonts w:ascii="Symbol" w:hAnsi="Symbol" w:hint="default"/>
      </w:rPr>
    </w:lvl>
    <w:lvl w:ilvl="4" w:tplc="9DB82ECC" w:tentative="1">
      <w:start w:val="1"/>
      <w:numFmt w:val="bullet"/>
      <w:lvlText w:val=""/>
      <w:lvlJc w:val="left"/>
      <w:pPr>
        <w:tabs>
          <w:tab w:val="num" w:pos="3600"/>
        </w:tabs>
        <w:ind w:left="3600" w:hanging="360"/>
      </w:pPr>
      <w:rPr>
        <w:rFonts w:ascii="Symbol" w:hAnsi="Symbol" w:hint="default"/>
      </w:rPr>
    </w:lvl>
    <w:lvl w:ilvl="5" w:tplc="8FCC1C18" w:tentative="1">
      <w:start w:val="1"/>
      <w:numFmt w:val="bullet"/>
      <w:lvlText w:val=""/>
      <w:lvlJc w:val="left"/>
      <w:pPr>
        <w:tabs>
          <w:tab w:val="num" w:pos="4320"/>
        </w:tabs>
        <w:ind w:left="4320" w:hanging="360"/>
      </w:pPr>
      <w:rPr>
        <w:rFonts w:ascii="Symbol" w:hAnsi="Symbol" w:hint="default"/>
      </w:rPr>
    </w:lvl>
    <w:lvl w:ilvl="6" w:tplc="1522FF04" w:tentative="1">
      <w:start w:val="1"/>
      <w:numFmt w:val="bullet"/>
      <w:lvlText w:val=""/>
      <w:lvlJc w:val="left"/>
      <w:pPr>
        <w:tabs>
          <w:tab w:val="num" w:pos="5040"/>
        </w:tabs>
        <w:ind w:left="5040" w:hanging="360"/>
      </w:pPr>
      <w:rPr>
        <w:rFonts w:ascii="Symbol" w:hAnsi="Symbol" w:hint="default"/>
      </w:rPr>
    </w:lvl>
    <w:lvl w:ilvl="7" w:tplc="0ADE69C2" w:tentative="1">
      <w:start w:val="1"/>
      <w:numFmt w:val="bullet"/>
      <w:lvlText w:val=""/>
      <w:lvlJc w:val="left"/>
      <w:pPr>
        <w:tabs>
          <w:tab w:val="num" w:pos="5760"/>
        </w:tabs>
        <w:ind w:left="5760" w:hanging="360"/>
      </w:pPr>
      <w:rPr>
        <w:rFonts w:ascii="Symbol" w:hAnsi="Symbol" w:hint="default"/>
      </w:rPr>
    </w:lvl>
    <w:lvl w:ilvl="8" w:tplc="93FE15E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97"/>
    <w:rsid w:val="00000465"/>
    <w:rsid w:val="00010EA8"/>
    <w:rsid w:val="00066B0E"/>
    <w:rsid w:val="000F0DF1"/>
    <w:rsid w:val="0011279D"/>
    <w:rsid w:val="001239DA"/>
    <w:rsid w:val="001353E8"/>
    <w:rsid w:val="00141897"/>
    <w:rsid w:val="00155788"/>
    <w:rsid w:val="0018359B"/>
    <w:rsid w:val="001C66D5"/>
    <w:rsid w:val="001D7712"/>
    <w:rsid w:val="002B49DE"/>
    <w:rsid w:val="002F2446"/>
    <w:rsid w:val="0032222D"/>
    <w:rsid w:val="00362EDE"/>
    <w:rsid w:val="00396518"/>
    <w:rsid w:val="003E66CE"/>
    <w:rsid w:val="00414548"/>
    <w:rsid w:val="004D1392"/>
    <w:rsid w:val="005166D7"/>
    <w:rsid w:val="00535AE5"/>
    <w:rsid w:val="005918EA"/>
    <w:rsid w:val="00692F18"/>
    <w:rsid w:val="006D09F5"/>
    <w:rsid w:val="006D39E6"/>
    <w:rsid w:val="00774639"/>
    <w:rsid w:val="008D59C1"/>
    <w:rsid w:val="00925C14"/>
    <w:rsid w:val="00A043FD"/>
    <w:rsid w:val="00A10454"/>
    <w:rsid w:val="00A5627A"/>
    <w:rsid w:val="00A568C7"/>
    <w:rsid w:val="00AE57C1"/>
    <w:rsid w:val="00B17B64"/>
    <w:rsid w:val="00BD34BF"/>
    <w:rsid w:val="00BF07B2"/>
    <w:rsid w:val="00CF5473"/>
    <w:rsid w:val="00DB46B2"/>
    <w:rsid w:val="00F03250"/>
    <w:rsid w:val="00F15FB9"/>
    <w:rsid w:val="00F534ED"/>
    <w:rsid w:val="00F8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2B85-4840-4CF6-AFF3-2CA8069C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Huber</dc:creator>
  <cp:lastModifiedBy>David Knuth</cp:lastModifiedBy>
  <cp:revision>2</cp:revision>
  <cp:lastPrinted>2016-02-08T16:21:00Z</cp:lastPrinted>
  <dcterms:created xsi:type="dcterms:W3CDTF">2016-02-11T22:13:00Z</dcterms:created>
  <dcterms:modified xsi:type="dcterms:W3CDTF">2016-02-11T22:13:00Z</dcterms:modified>
</cp:coreProperties>
</file>