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DC4" w:rsidRDefault="00DF2DC4" w:rsidP="00DF2DC4">
      <w:pPr>
        <w:rPr>
          <w:lang w:val="fr-CH"/>
        </w:rPr>
      </w:pPr>
    </w:p>
    <w:tbl>
      <w:tblPr>
        <w:tblW w:w="9576" w:type="dxa"/>
        <w:tblCellMar>
          <w:left w:w="0" w:type="dxa"/>
          <w:right w:w="0" w:type="dxa"/>
        </w:tblCellMar>
        <w:tblLook w:val="04A0" w:firstRow="1" w:lastRow="0" w:firstColumn="1" w:lastColumn="0" w:noHBand="0" w:noVBand="1"/>
      </w:tblPr>
      <w:tblGrid>
        <w:gridCol w:w="2359"/>
        <w:gridCol w:w="7217"/>
      </w:tblGrid>
      <w:tr w:rsidR="00DF2DC4" w:rsidTr="00DF2DC4">
        <w:trPr>
          <w:trHeight w:val="548"/>
        </w:trPr>
        <w:tc>
          <w:tcPr>
            <w:tcW w:w="23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2DC4" w:rsidRDefault="00DF2DC4">
            <w:pPr>
              <w:spacing w:line="276" w:lineRule="auto"/>
            </w:pPr>
            <w:r>
              <w:rPr>
                <w:b/>
                <w:bCs/>
                <w:color w:val="262626"/>
              </w:rPr>
              <w:t>Proposal Title</w:t>
            </w:r>
          </w:p>
        </w:tc>
        <w:tc>
          <w:tcPr>
            <w:tcW w:w="72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2DC4" w:rsidRDefault="00DF2DC4">
            <w:pPr>
              <w:spacing w:line="276" w:lineRule="auto"/>
            </w:pPr>
            <w:r>
              <w:t>Bringing Ukrainian Voices to the Netherlands</w:t>
            </w:r>
          </w:p>
        </w:tc>
      </w:tr>
      <w:tr w:rsidR="00DF2DC4" w:rsidTr="00DF2DC4">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2DC4" w:rsidRDefault="00DF2DC4">
            <w:pPr>
              <w:spacing w:line="276" w:lineRule="auto"/>
            </w:pPr>
            <w:r>
              <w:rPr>
                <w:b/>
                <w:bCs/>
                <w:color w:val="262626"/>
              </w:rPr>
              <w:t>Reserve Fund</w:t>
            </w:r>
          </w:p>
        </w:tc>
        <w:tc>
          <w:tcPr>
            <w:tcW w:w="7217" w:type="dxa"/>
            <w:tcBorders>
              <w:top w:val="nil"/>
              <w:left w:val="nil"/>
              <w:bottom w:val="single" w:sz="8" w:space="0" w:color="auto"/>
              <w:right w:val="single" w:sz="8" w:space="0" w:color="auto"/>
            </w:tcBorders>
            <w:tcMar>
              <w:top w:w="0" w:type="dxa"/>
              <w:left w:w="108" w:type="dxa"/>
              <w:bottom w:w="0" w:type="dxa"/>
              <w:right w:w="108" w:type="dxa"/>
            </w:tcMar>
            <w:hideMark/>
          </w:tcPr>
          <w:p w:rsidR="00DF2DC4" w:rsidRDefault="00DF2DC4">
            <w:pPr>
              <w:spacing w:line="276" w:lineRule="auto"/>
            </w:pPr>
            <w:r>
              <w:rPr>
                <w:color w:val="000000"/>
              </w:rPr>
              <w:t>Eurasia Reserve Fund</w:t>
            </w:r>
          </w:p>
        </w:tc>
      </w:tr>
      <w:tr w:rsidR="00DF2DC4" w:rsidTr="00DF2DC4">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2DC4" w:rsidRDefault="00DF2DC4">
            <w:pPr>
              <w:spacing w:line="276" w:lineRule="auto"/>
            </w:pPr>
            <w:r>
              <w:rPr>
                <w:b/>
                <w:bCs/>
                <w:color w:val="262626"/>
              </w:rPr>
              <w:t>Collaborating Programs</w:t>
            </w:r>
          </w:p>
        </w:tc>
        <w:tc>
          <w:tcPr>
            <w:tcW w:w="7217" w:type="dxa"/>
            <w:tcBorders>
              <w:top w:val="nil"/>
              <w:left w:val="nil"/>
              <w:bottom w:val="single" w:sz="8" w:space="0" w:color="auto"/>
              <w:right w:val="single" w:sz="8" w:space="0" w:color="auto"/>
            </w:tcBorders>
            <w:tcMar>
              <w:top w:w="0" w:type="dxa"/>
              <w:left w:w="108" w:type="dxa"/>
              <w:bottom w:w="0" w:type="dxa"/>
              <w:right w:w="108" w:type="dxa"/>
            </w:tcMar>
            <w:hideMark/>
          </w:tcPr>
          <w:p w:rsidR="00DF2DC4" w:rsidRDefault="00DF2DC4">
            <w:pPr>
              <w:spacing w:line="276" w:lineRule="auto"/>
            </w:pPr>
            <w:r>
              <w:rPr>
                <w:color w:val="000000"/>
              </w:rPr>
              <w:t>International Renaissance Foundation (IRF), Open Society Initiative For Europe (OSIFE), Eurasia Program</w:t>
            </w:r>
          </w:p>
        </w:tc>
      </w:tr>
      <w:tr w:rsidR="00DF2DC4" w:rsidTr="00DF2DC4">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2DC4" w:rsidRDefault="00DF2DC4">
            <w:pPr>
              <w:spacing w:line="276" w:lineRule="auto"/>
            </w:pPr>
            <w:r>
              <w:rPr>
                <w:b/>
                <w:bCs/>
                <w:color w:val="262626"/>
              </w:rPr>
              <w:t>Recommended by</w:t>
            </w:r>
          </w:p>
        </w:tc>
        <w:tc>
          <w:tcPr>
            <w:tcW w:w="7217" w:type="dxa"/>
            <w:tcBorders>
              <w:top w:val="nil"/>
              <w:left w:val="nil"/>
              <w:bottom w:val="single" w:sz="8" w:space="0" w:color="auto"/>
              <w:right w:val="single" w:sz="8" w:space="0" w:color="auto"/>
            </w:tcBorders>
            <w:tcMar>
              <w:top w:w="0" w:type="dxa"/>
              <w:left w:w="108" w:type="dxa"/>
              <w:bottom w:w="0" w:type="dxa"/>
              <w:right w:w="108" w:type="dxa"/>
            </w:tcMar>
            <w:hideMark/>
          </w:tcPr>
          <w:p w:rsidR="00DF2DC4" w:rsidRDefault="00DF2DC4">
            <w:pPr>
              <w:spacing w:line="276" w:lineRule="auto"/>
            </w:pPr>
            <w:r>
              <w:rPr>
                <w:color w:val="000000"/>
              </w:rPr>
              <w:t>Yevhen Bystrytsky, International Renaissance Foundation</w:t>
            </w:r>
          </w:p>
        </w:tc>
      </w:tr>
      <w:tr w:rsidR="00DF2DC4" w:rsidTr="00DF2DC4">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2DC4" w:rsidRDefault="00DF2DC4">
            <w:pPr>
              <w:spacing w:line="276" w:lineRule="auto"/>
            </w:pPr>
            <w:r>
              <w:rPr>
                <w:b/>
                <w:bCs/>
                <w:color w:val="262626"/>
              </w:rPr>
              <w:t xml:space="preserve">Coordinated by </w:t>
            </w:r>
          </w:p>
        </w:tc>
        <w:tc>
          <w:tcPr>
            <w:tcW w:w="7217" w:type="dxa"/>
            <w:tcBorders>
              <w:top w:val="nil"/>
              <w:left w:val="nil"/>
              <w:bottom w:val="single" w:sz="8" w:space="0" w:color="auto"/>
              <w:right w:val="single" w:sz="8" w:space="0" w:color="auto"/>
            </w:tcBorders>
            <w:tcMar>
              <w:top w:w="0" w:type="dxa"/>
              <w:left w:w="108" w:type="dxa"/>
              <w:bottom w:w="0" w:type="dxa"/>
              <w:right w:w="108" w:type="dxa"/>
            </w:tcMar>
            <w:hideMark/>
          </w:tcPr>
          <w:p w:rsidR="00DF2DC4" w:rsidRDefault="00DF2DC4">
            <w:pPr>
              <w:spacing w:line="276" w:lineRule="auto"/>
            </w:pPr>
            <w:r>
              <w:rPr>
                <w:color w:val="000000"/>
              </w:rPr>
              <w:t> </w:t>
            </w:r>
          </w:p>
        </w:tc>
      </w:tr>
      <w:tr w:rsidR="00DF2DC4" w:rsidTr="00DF2DC4">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2DC4" w:rsidRDefault="00DF2DC4">
            <w:pPr>
              <w:spacing w:line="276" w:lineRule="auto"/>
            </w:pPr>
            <w:r>
              <w:rPr>
                <w:b/>
                <w:bCs/>
                <w:color w:val="262626"/>
              </w:rPr>
              <w:t>Approver</w:t>
            </w:r>
          </w:p>
        </w:tc>
        <w:tc>
          <w:tcPr>
            <w:tcW w:w="7217" w:type="dxa"/>
            <w:tcBorders>
              <w:top w:val="nil"/>
              <w:left w:val="nil"/>
              <w:bottom w:val="single" w:sz="8" w:space="0" w:color="auto"/>
              <w:right w:val="single" w:sz="8" w:space="0" w:color="auto"/>
            </w:tcBorders>
            <w:tcMar>
              <w:top w:w="0" w:type="dxa"/>
              <w:left w:w="108" w:type="dxa"/>
              <w:bottom w:w="0" w:type="dxa"/>
              <w:right w:w="108" w:type="dxa"/>
            </w:tcMar>
            <w:hideMark/>
          </w:tcPr>
          <w:p w:rsidR="00DF2DC4" w:rsidRDefault="00DF2DC4">
            <w:pPr>
              <w:spacing w:line="276" w:lineRule="auto"/>
            </w:pPr>
            <w:r>
              <w:rPr>
                <w:color w:val="000000"/>
              </w:rPr>
              <w:t xml:space="preserve">Leonard Benardo, </w:t>
            </w:r>
            <w:r>
              <w:rPr>
                <w:color w:val="000000"/>
                <w:lang w:val="en-GB"/>
              </w:rPr>
              <w:t xml:space="preserve">Regional Director, Eurasia Program </w:t>
            </w:r>
          </w:p>
        </w:tc>
      </w:tr>
      <w:tr w:rsidR="00DF2DC4" w:rsidTr="00DF2DC4">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2DC4" w:rsidRDefault="00DF2DC4">
            <w:pPr>
              <w:spacing w:line="276" w:lineRule="auto"/>
            </w:pPr>
            <w:r>
              <w:rPr>
                <w:b/>
                <w:bCs/>
                <w:color w:val="262626"/>
              </w:rPr>
              <w:t>Amount Requested</w:t>
            </w:r>
          </w:p>
        </w:tc>
        <w:tc>
          <w:tcPr>
            <w:tcW w:w="7217" w:type="dxa"/>
            <w:tcBorders>
              <w:top w:val="nil"/>
              <w:left w:val="nil"/>
              <w:bottom w:val="single" w:sz="8" w:space="0" w:color="auto"/>
              <w:right w:val="single" w:sz="8" w:space="0" w:color="auto"/>
            </w:tcBorders>
            <w:tcMar>
              <w:top w:w="0" w:type="dxa"/>
              <w:left w:w="108" w:type="dxa"/>
              <w:bottom w:w="0" w:type="dxa"/>
              <w:right w:w="108" w:type="dxa"/>
            </w:tcMar>
            <w:hideMark/>
          </w:tcPr>
          <w:p w:rsidR="00DF2DC4" w:rsidRDefault="00DF2DC4">
            <w:pPr>
              <w:spacing w:line="276" w:lineRule="auto"/>
            </w:pPr>
            <w:r>
              <w:rPr>
                <w:color w:val="000000"/>
              </w:rPr>
              <w:t xml:space="preserve">$195,000 from the Eurasia Reserve </w:t>
            </w:r>
          </w:p>
        </w:tc>
      </w:tr>
      <w:tr w:rsidR="00DF2DC4" w:rsidTr="00DF2DC4">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2DC4" w:rsidRDefault="00DF2DC4">
            <w:pPr>
              <w:spacing w:line="276" w:lineRule="auto"/>
            </w:pPr>
            <w:r>
              <w:rPr>
                <w:b/>
                <w:bCs/>
                <w:color w:val="262626"/>
              </w:rPr>
              <w:t>Unforeseen Need (250 words)</w:t>
            </w:r>
          </w:p>
        </w:tc>
        <w:tc>
          <w:tcPr>
            <w:tcW w:w="7217" w:type="dxa"/>
            <w:tcBorders>
              <w:top w:val="nil"/>
              <w:left w:val="nil"/>
              <w:bottom w:val="single" w:sz="8" w:space="0" w:color="auto"/>
              <w:right w:val="single" w:sz="8" w:space="0" w:color="auto"/>
            </w:tcBorders>
            <w:tcMar>
              <w:top w:w="0" w:type="dxa"/>
              <w:left w:w="108" w:type="dxa"/>
              <w:bottom w:w="0" w:type="dxa"/>
              <w:right w:w="108" w:type="dxa"/>
            </w:tcMar>
            <w:hideMark/>
          </w:tcPr>
          <w:p w:rsidR="00DF2DC4" w:rsidRDefault="00DF2DC4">
            <w:r>
              <w:t xml:space="preserve">Ukraine signed the Association Agreement (AA) with the EU in 2014. By late 2015, most EU member states ratified the AA.  A nation-wide referendum on the AA with Ukraine was announced in the Netherlands after 427,000 people backed a citizens' initiative.  The No Poll movement takes advantage of a new Dutch law allowing advisory referendums.  The April 2016 referendum will be the first citizen-enforced plebiscite in the Netherlands. Although the result is not binding, it will have to be considered with turnout above 30%.  A YES Campaign was launched in the Netherlands with support of OSIFE/OSF. Dutch prime minister Mark </w:t>
            </w:r>
            <w:proofErr w:type="spellStart"/>
            <w:r>
              <w:t>Rutte</w:t>
            </w:r>
            <w:proofErr w:type="spellEnd"/>
            <w:r>
              <w:t xml:space="preserve"> announced in January that the Ukraine-EU AA is good for Europe and the Netherlands and vowed that his government would campaign for a “Yes.”</w:t>
            </w:r>
          </w:p>
          <w:p w:rsidR="00DF2DC4" w:rsidRDefault="00DF2DC4">
            <w:r>
              <w:t> </w:t>
            </w:r>
          </w:p>
          <w:p w:rsidR="00DF2DC4" w:rsidRDefault="00DF2DC4">
            <w:r>
              <w:t xml:space="preserve">While the referendum is about the Dutch people’s attitudes to the EU institutions and not Ukraine, the risk of a “No” vote is high. The “No” vote may cause the Dutch parliament to review its positive vote on the AA with the EU endangering the AA as a whole. The blow to the AA with the EU will adversely affect Ukraine’s reform pursuits. Under the leadership of the YES Campaign, IRF will support Ukrainian civic initiatives in close collaboration and coordination with the YES campaign. </w:t>
            </w:r>
          </w:p>
          <w:p w:rsidR="00DF2DC4" w:rsidRDefault="00DF2DC4">
            <w:r>
              <w:t>  </w:t>
            </w:r>
          </w:p>
          <w:p w:rsidR="00DF2DC4" w:rsidRDefault="00DF2DC4">
            <w:r>
              <w:t xml:space="preserve">In late 2015, 15% of Dutch voters were ready to support the AA and 37% would reject. 56% of the remaining "undecided" voters, when given more information, said they would vote “Yes.” We want to reach out to neutral or undecided and raise awareness. </w:t>
            </w:r>
          </w:p>
          <w:p w:rsidR="00DF2DC4" w:rsidRDefault="00DF2DC4">
            <w:pPr>
              <w:spacing w:line="276" w:lineRule="auto"/>
            </w:pPr>
            <w:r>
              <w:t> </w:t>
            </w:r>
          </w:p>
        </w:tc>
      </w:tr>
      <w:tr w:rsidR="00DF2DC4" w:rsidTr="00DF2DC4">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2DC4" w:rsidRDefault="00DF2DC4">
            <w:pPr>
              <w:spacing w:line="276" w:lineRule="auto"/>
            </w:pPr>
            <w:r>
              <w:rPr>
                <w:b/>
                <w:bCs/>
                <w:color w:val="262626"/>
              </w:rPr>
              <w:t>Activities Proposed (500 words)</w:t>
            </w:r>
          </w:p>
        </w:tc>
        <w:tc>
          <w:tcPr>
            <w:tcW w:w="7217" w:type="dxa"/>
            <w:tcBorders>
              <w:top w:val="nil"/>
              <w:left w:val="nil"/>
              <w:bottom w:val="single" w:sz="8" w:space="0" w:color="auto"/>
              <w:right w:val="single" w:sz="8" w:space="0" w:color="auto"/>
            </w:tcBorders>
            <w:tcMar>
              <w:top w:w="0" w:type="dxa"/>
              <w:left w:w="108" w:type="dxa"/>
              <w:bottom w:w="0" w:type="dxa"/>
              <w:right w:w="108" w:type="dxa"/>
            </w:tcMar>
            <w:hideMark/>
          </w:tcPr>
          <w:p w:rsidR="00DF2DC4" w:rsidRDefault="00DF2DC4">
            <w:r>
              <w:t xml:space="preserve">The key activities would aim at: </w:t>
            </w:r>
          </w:p>
          <w:p w:rsidR="00DF2DC4" w:rsidRDefault="00DF2DC4" w:rsidP="002970D5">
            <w:pPr>
              <w:pStyle w:val="ListParagraph"/>
              <w:numPr>
                <w:ilvl w:val="0"/>
                <w:numId w:val="1"/>
              </w:numPr>
            </w:pPr>
            <w:r>
              <w:t xml:space="preserve">Opinion-makers and media tours of the leading Dutch media representatives to Ukraine (2-3 media tours of 6-10 journalists each to Kyiv and then </w:t>
            </w:r>
            <w:proofErr w:type="spellStart"/>
            <w:r>
              <w:t>Lviv</w:t>
            </w:r>
            <w:proofErr w:type="spellEnd"/>
            <w:r>
              <w:t xml:space="preserve">, </w:t>
            </w:r>
            <w:proofErr w:type="spellStart"/>
            <w:r>
              <w:t>Kharkiv</w:t>
            </w:r>
            <w:proofErr w:type="spellEnd"/>
            <w:r>
              <w:t xml:space="preserve"> or Odessa), with international desks chiefs, international correspondents of De </w:t>
            </w:r>
            <w:proofErr w:type="spellStart"/>
            <w:r>
              <w:t>Telegraaf</w:t>
            </w:r>
            <w:proofErr w:type="spellEnd"/>
            <w:r>
              <w:t xml:space="preserve">, </w:t>
            </w:r>
            <w:proofErr w:type="spellStart"/>
            <w:r>
              <w:t>Algemeen</w:t>
            </w:r>
            <w:proofErr w:type="spellEnd"/>
            <w:r>
              <w:t xml:space="preserve"> </w:t>
            </w:r>
            <w:proofErr w:type="spellStart"/>
            <w:r>
              <w:t>Dagblad</w:t>
            </w:r>
            <w:proofErr w:type="spellEnd"/>
            <w:r>
              <w:t xml:space="preserve">, De </w:t>
            </w:r>
            <w:proofErr w:type="spellStart"/>
            <w:r>
              <w:t>Volkskrant</w:t>
            </w:r>
            <w:proofErr w:type="spellEnd"/>
            <w:r>
              <w:t xml:space="preserve">, NRC </w:t>
            </w:r>
            <w:proofErr w:type="spellStart"/>
            <w:r>
              <w:t>Handelsblad</w:t>
            </w:r>
            <w:proofErr w:type="spellEnd"/>
            <w:r>
              <w:t xml:space="preserve">, </w:t>
            </w:r>
            <w:proofErr w:type="spellStart"/>
            <w:r>
              <w:t>Trouw</w:t>
            </w:r>
            <w:proofErr w:type="spellEnd"/>
            <w:r>
              <w:t xml:space="preserve">, Het </w:t>
            </w:r>
            <w:proofErr w:type="spellStart"/>
            <w:r>
              <w:t>Parool</w:t>
            </w:r>
            <w:proofErr w:type="spellEnd"/>
            <w:r>
              <w:t xml:space="preserve">, Spitz, and other leading Dutch media. Possibly, the media tours will also include opinion leaders. Also, a visit of 6-7 Dutch opinion makers for a 2-3-day study to Ukraine will bring together moderate/ undecided opinion leaders, decision-makers and experts who could be convinced to take a more pro-active positive stance about the referendum after </w:t>
            </w:r>
            <w:r>
              <w:lastRenderedPageBreak/>
              <w:t>the visit to Ukraine and communicate reasons for a “Yes” to their constituencies. (Partners: Ukrainian Crisis Media Center and Institute of World Policy)</w:t>
            </w:r>
          </w:p>
          <w:p w:rsidR="00DF2DC4" w:rsidRDefault="00DF2DC4">
            <w:r>
              <w:rPr>
                <w:u w:val="single"/>
              </w:rPr>
              <w:t>Tentative budget: US$ 45,000</w:t>
            </w:r>
          </w:p>
          <w:p w:rsidR="00DF2DC4" w:rsidRDefault="00DF2DC4">
            <w:r>
              <w:t> </w:t>
            </w:r>
          </w:p>
          <w:p w:rsidR="00DF2DC4" w:rsidRDefault="00DF2DC4" w:rsidP="002970D5">
            <w:pPr>
              <w:pStyle w:val="ListParagraph"/>
              <w:numPr>
                <w:ilvl w:val="0"/>
                <w:numId w:val="1"/>
              </w:numPr>
            </w:pPr>
            <w:r>
              <w:t xml:space="preserve">Visit of 8-10 Dutch recognized intellectuals, opinion leaders, journalists, artists and producers to the </w:t>
            </w:r>
            <w:proofErr w:type="gramStart"/>
            <w:r>
              <w:t>Docudays.UA  International</w:t>
            </w:r>
            <w:proofErr w:type="gramEnd"/>
            <w:r>
              <w:t xml:space="preserve"> Documentary Festival in Kyiv on March 25 – April 1, 2016. A special Dutch event on human rights, migration and European identity will be organized within the festival. The Dutch participants of the Docudays.UA will be matched with students of the Leadership Academy who will facilitate their communication and networking with Ukrainian civil society and opinion leaders. Before the Docudays.UA Festival in Kyiv, presentations of Ukrainian films about the </w:t>
            </w:r>
            <w:proofErr w:type="spellStart"/>
            <w:r>
              <w:t>Maidan</w:t>
            </w:r>
            <w:proofErr w:type="spellEnd"/>
            <w:r>
              <w:t xml:space="preserve"> and people’s self-organization will be organized in the Netherlands where relevant within other components of this project.</w:t>
            </w:r>
          </w:p>
          <w:p w:rsidR="00DF2DC4" w:rsidRDefault="00DF2DC4">
            <w:r>
              <w:rPr>
                <w:u w:val="single"/>
              </w:rPr>
              <w:t>Tentative budget: US$ 20,000</w:t>
            </w:r>
          </w:p>
          <w:p w:rsidR="00DF2DC4" w:rsidRDefault="00DF2DC4">
            <w:r>
              <w:rPr>
                <w:b/>
                <w:bCs/>
                <w:color w:val="0070C0"/>
              </w:rPr>
              <w:t> </w:t>
            </w:r>
          </w:p>
          <w:p w:rsidR="00DF2DC4" w:rsidRDefault="00DF2DC4" w:rsidP="002970D5">
            <w:pPr>
              <w:pStyle w:val="ListParagraph"/>
              <w:numPr>
                <w:ilvl w:val="0"/>
                <w:numId w:val="1"/>
              </w:numPr>
            </w:pPr>
            <w:r>
              <w:t>5-6 visits, advocacy meetings, etc. – aimed at explaining Ukraine’s position and mobilizing civic associations, advocacy groups and NGOs in the Netherlands to communicate why the Association Agreement is key to their advocacy causes and a stable ground for future improvements</w:t>
            </w:r>
          </w:p>
          <w:p w:rsidR="00DF2DC4" w:rsidRDefault="00DF2DC4" w:rsidP="002970D5">
            <w:pPr>
              <w:pStyle w:val="ListParagraph"/>
              <w:numPr>
                <w:ilvl w:val="0"/>
                <w:numId w:val="2"/>
              </w:numPr>
            </w:pPr>
            <w:r>
              <w:t xml:space="preserve">Human rights discussions </w:t>
            </w:r>
          </w:p>
          <w:p w:rsidR="00DF2DC4" w:rsidRDefault="00DF2DC4" w:rsidP="002970D5">
            <w:pPr>
              <w:pStyle w:val="ListParagraph"/>
              <w:numPr>
                <w:ilvl w:val="0"/>
                <w:numId w:val="2"/>
              </w:numPr>
            </w:pPr>
            <w:r>
              <w:t>LGBTI groups and activists</w:t>
            </w:r>
          </w:p>
          <w:p w:rsidR="00DF2DC4" w:rsidRDefault="00DF2DC4" w:rsidP="002970D5">
            <w:pPr>
              <w:pStyle w:val="ListParagraph"/>
              <w:numPr>
                <w:ilvl w:val="0"/>
                <w:numId w:val="2"/>
              </w:numPr>
            </w:pPr>
            <w:r>
              <w:t xml:space="preserve">Environmental groups </w:t>
            </w:r>
          </w:p>
          <w:p w:rsidR="00DF2DC4" w:rsidRDefault="00DF2DC4" w:rsidP="002970D5">
            <w:pPr>
              <w:pStyle w:val="ListParagraph"/>
              <w:numPr>
                <w:ilvl w:val="0"/>
                <w:numId w:val="2"/>
              </w:numPr>
            </w:pPr>
            <w:r>
              <w:t xml:space="preserve">Youth groups </w:t>
            </w:r>
          </w:p>
          <w:p w:rsidR="00DF2DC4" w:rsidRDefault="00DF2DC4">
            <w:r>
              <w:rPr>
                <w:u w:val="single"/>
              </w:rPr>
              <w:t xml:space="preserve">Tentative budget: US$ 30,000 </w:t>
            </w:r>
          </w:p>
          <w:p w:rsidR="00DF2DC4" w:rsidRDefault="00DF2DC4" w:rsidP="002970D5">
            <w:pPr>
              <w:pStyle w:val="ListParagraph"/>
              <w:numPr>
                <w:ilvl w:val="0"/>
                <w:numId w:val="1"/>
              </w:numPr>
            </w:pPr>
            <w:r>
              <w:t xml:space="preserve">Enhancing communication on benefits of the Association Agreement, the </w:t>
            </w:r>
            <w:proofErr w:type="gramStart"/>
            <w:r>
              <w:t>DCFTA</w:t>
            </w:r>
            <w:r>
              <w:rPr>
                <w:rStyle w:val="CommentReference"/>
                <w:sz w:val="16"/>
                <w:szCs w:val="16"/>
              </w:rPr>
              <w:t> </w:t>
            </w:r>
            <w:r>
              <w:t>,</w:t>
            </w:r>
            <w:proofErr w:type="gramEnd"/>
            <w:r>
              <w:t xml:space="preserve"> and progress on reforms</w:t>
            </w:r>
            <w:r>
              <w:rPr>
                <w:color w:val="FF0000"/>
              </w:rPr>
              <w:t xml:space="preserve"> </w:t>
            </w:r>
            <w:r>
              <w:t xml:space="preserve">in Ukraine, provide up-to-date information to the Dutch media and opinion-makers on-site. This activity will be performed by the Ukrainian Crisis Media Center unit in Amsterdam in close collaboration with and under the leadership of the YES campaign, through joint events with the Dutch think tanks and advocacy partners. Ukrainian Crisis Media Center will consult with the YES campaign on messaging of the benefits of the association agreement to ensure alignment. </w:t>
            </w:r>
          </w:p>
          <w:p w:rsidR="00DF2DC4" w:rsidRDefault="00DF2DC4">
            <w:r>
              <w:rPr>
                <w:u w:val="single"/>
              </w:rPr>
              <w:t xml:space="preserve">Tentative budget: US$ 20,000 </w:t>
            </w:r>
          </w:p>
          <w:p w:rsidR="00DF2DC4" w:rsidRDefault="00DF2DC4">
            <w:r>
              <w:t> </w:t>
            </w:r>
          </w:p>
          <w:p w:rsidR="00DF2DC4" w:rsidRDefault="00DF2DC4" w:rsidP="002970D5">
            <w:pPr>
              <w:pStyle w:val="ListParagraph"/>
              <w:numPr>
                <w:ilvl w:val="0"/>
                <w:numId w:val="1"/>
              </w:numPr>
            </w:pPr>
            <w:r>
              <w:t xml:space="preserve">Public lectures, presentations and debates by Ukrainian intellectuals, policy-makers and opinion leaders at Universities, public spaces that serve as platforms for public discussions on politics, human rights, culture, and media of Amsterdam, Leiden, Maastricht and other cities (in partnership with Ukrainian students and alumni at Dutch universities, and with significant centers of social and cultural activity (e.g., De </w:t>
            </w:r>
            <w:proofErr w:type="spellStart"/>
            <w:r>
              <w:t>Balie</w:t>
            </w:r>
            <w:proofErr w:type="spellEnd"/>
            <w:r>
              <w:t xml:space="preserve"> Center in Amsterdam).</w:t>
            </w:r>
          </w:p>
          <w:p w:rsidR="00DF2DC4" w:rsidRDefault="00DF2DC4">
            <w:r>
              <w:rPr>
                <w:u w:val="single"/>
              </w:rPr>
              <w:t xml:space="preserve">Tentative budget: US$ 40,000 </w:t>
            </w:r>
          </w:p>
          <w:p w:rsidR="00DF2DC4" w:rsidRDefault="00DF2DC4">
            <w:r>
              <w:rPr>
                <w:b/>
                <w:bCs/>
              </w:rPr>
              <w:t> </w:t>
            </w:r>
          </w:p>
          <w:p w:rsidR="00DF2DC4" w:rsidRDefault="00DF2DC4" w:rsidP="002970D5">
            <w:pPr>
              <w:pStyle w:val="ListParagraph"/>
              <w:numPr>
                <w:ilvl w:val="0"/>
                <w:numId w:val="1"/>
              </w:numPr>
            </w:pPr>
            <w:r>
              <w:lastRenderedPageBreak/>
              <w:t>Analytical materials, infographics, videos, other communication materials about benefits of the Association Agreement for various stakeholders in the Netherlands, including energy efficiency innovators, environmentalists, farmers, sports fans, youth, etc.  (Partners: Ukrainian Crisis Media Center, Institute of World Policy)</w:t>
            </w:r>
          </w:p>
          <w:p w:rsidR="00DF2DC4" w:rsidRDefault="00DF2DC4">
            <w:r>
              <w:rPr>
                <w:u w:val="single"/>
              </w:rPr>
              <w:t xml:space="preserve">Tentative budget: US$ 30,000 </w:t>
            </w:r>
          </w:p>
          <w:p w:rsidR="00DF2DC4" w:rsidRDefault="00DF2DC4">
            <w:r>
              <w:rPr>
                <w:b/>
                <w:bCs/>
              </w:rPr>
              <w:t> </w:t>
            </w:r>
          </w:p>
          <w:p w:rsidR="00DF2DC4" w:rsidRDefault="00DF2DC4" w:rsidP="002970D5">
            <w:pPr>
              <w:pStyle w:val="ListParagraph"/>
              <w:numPr>
                <w:ilvl w:val="0"/>
                <w:numId w:val="1"/>
              </w:numPr>
            </w:pPr>
            <w:r>
              <w:rPr>
                <w:color w:val="000000"/>
              </w:rPr>
              <w:t xml:space="preserve">Coordination, travel, grant management and administrative support by IRF </w:t>
            </w:r>
          </w:p>
          <w:p w:rsidR="00DF2DC4" w:rsidRDefault="00DF2DC4">
            <w:pPr>
              <w:spacing w:after="200" w:line="276" w:lineRule="auto"/>
            </w:pPr>
            <w:r>
              <w:rPr>
                <w:u w:val="single"/>
              </w:rPr>
              <w:t>Tentative budget: US$ 10,000</w:t>
            </w:r>
          </w:p>
        </w:tc>
      </w:tr>
      <w:tr w:rsidR="00DF2DC4" w:rsidTr="00DF2DC4">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2DC4" w:rsidRDefault="00DF2DC4">
            <w:pPr>
              <w:spacing w:line="276" w:lineRule="auto"/>
            </w:pPr>
            <w:r>
              <w:rPr>
                <w:b/>
                <w:bCs/>
                <w:color w:val="262626"/>
              </w:rPr>
              <w:lastRenderedPageBreak/>
              <w:t>Summary for Board Reports (100 words)</w:t>
            </w:r>
          </w:p>
        </w:tc>
        <w:tc>
          <w:tcPr>
            <w:tcW w:w="7217" w:type="dxa"/>
            <w:tcBorders>
              <w:top w:val="nil"/>
              <w:left w:val="nil"/>
              <w:bottom w:val="single" w:sz="8" w:space="0" w:color="auto"/>
              <w:right w:val="single" w:sz="8" w:space="0" w:color="auto"/>
            </w:tcBorders>
            <w:tcMar>
              <w:top w:w="0" w:type="dxa"/>
              <w:left w:w="108" w:type="dxa"/>
              <w:bottom w:w="0" w:type="dxa"/>
              <w:right w:w="108" w:type="dxa"/>
            </w:tcMar>
            <w:hideMark/>
          </w:tcPr>
          <w:p w:rsidR="00DF2DC4" w:rsidRDefault="00DF2DC4">
            <w:pPr>
              <w:spacing w:line="276" w:lineRule="auto"/>
            </w:pPr>
            <w:r>
              <w:t xml:space="preserve">IRF will complement the work by OSIFE and the Dutch “YES” campaign by supporting relevant activities of Ukrainian civil society coordinated with the YES Campaign to improve the general public’s opinion about Ukraine in the Netherlands and shift the vote at the April 6 Referendum on the EU-Ukraine Association Agreement in favor of Ukraine. The project will add Ukrainian voices to the YES Campaign to raise awareness about Ukraine and build communication with the Dutch society on issues that are important to the Dutch people, including good governance, integrity, human rights and non-discrimination, culture, environment, and business opportunities.  </w:t>
            </w:r>
          </w:p>
        </w:tc>
      </w:tr>
      <w:tr w:rsidR="00DF2DC4" w:rsidTr="00DF2DC4">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2DC4" w:rsidRDefault="00DF2DC4">
            <w:pPr>
              <w:spacing w:line="276" w:lineRule="auto"/>
            </w:pPr>
            <w:r>
              <w:rPr>
                <w:b/>
                <w:bCs/>
                <w:color w:val="262626"/>
              </w:rPr>
              <w:t>Collaborating Programs within OSF and essential partners or grantees</w:t>
            </w:r>
          </w:p>
        </w:tc>
        <w:tc>
          <w:tcPr>
            <w:tcW w:w="7217" w:type="dxa"/>
            <w:tcBorders>
              <w:top w:val="nil"/>
              <w:left w:val="nil"/>
              <w:bottom w:val="single" w:sz="8" w:space="0" w:color="auto"/>
              <w:right w:val="single" w:sz="8" w:space="0" w:color="auto"/>
            </w:tcBorders>
            <w:tcMar>
              <w:top w:w="0" w:type="dxa"/>
              <w:left w:w="108" w:type="dxa"/>
              <w:bottom w:w="0" w:type="dxa"/>
              <w:right w:w="108" w:type="dxa"/>
            </w:tcMar>
            <w:hideMark/>
          </w:tcPr>
          <w:p w:rsidR="00DF2DC4" w:rsidRDefault="00DF2DC4">
            <w:r>
              <w:t>Eurasia Program</w:t>
            </w:r>
          </w:p>
          <w:p w:rsidR="00DF2DC4" w:rsidRDefault="00DF2DC4">
            <w:r>
              <w:t>International Renaissance Foundation</w:t>
            </w:r>
          </w:p>
          <w:p w:rsidR="00DF2DC4" w:rsidRDefault="00DF2DC4">
            <w:r>
              <w:t>OSIFE</w:t>
            </w:r>
          </w:p>
          <w:p w:rsidR="00DF2DC4" w:rsidRDefault="00DF2DC4">
            <w:pPr>
              <w:spacing w:line="276" w:lineRule="auto"/>
            </w:pPr>
            <w:r>
              <w:t>Open Society European Policy Institute (OSEPI)</w:t>
            </w:r>
          </w:p>
        </w:tc>
      </w:tr>
      <w:tr w:rsidR="00DF2DC4" w:rsidTr="00DF2DC4">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2DC4" w:rsidRDefault="00DF2DC4">
            <w:pPr>
              <w:spacing w:line="276" w:lineRule="auto"/>
            </w:pPr>
            <w:r>
              <w:rPr>
                <w:b/>
                <w:bCs/>
                <w:color w:val="262626"/>
              </w:rPr>
              <w:t>Contributions expected from Collaborating Programs (250 words)</w:t>
            </w:r>
          </w:p>
        </w:tc>
        <w:tc>
          <w:tcPr>
            <w:tcW w:w="7217" w:type="dxa"/>
            <w:tcBorders>
              <w:top w:val="nil"/>
              <w:left w:val="nil"/>
              <w:bottom w:val="single" w:sz="8" w:space="0" w:color="auto"/>
              <w:right w:val="single" w:sz="8" w:space="0" w:color="auto"/>
            </w:tcBorders>
            <w:tcMar>
              <w:top w:w="0" w:type="dxa"/>
              <w:left w:w="108" w:type="dxa"/>
              <w:bottom w:w="0" w:type="dxa"/>
              <w:right w:w="108" w:type="dxa"/>
            </w:tcMar>
            <w:hideMark/>
          </w:tcPr>
          <w:p w:rsidR="00DF2DC4" w:rsidRDefault="00DF2DC4">
            <w:pPr>
              <w:spacing w:line="276" w:lineRule="auto"/>
            </w:pPr>
            <w:r>
              <w:t>OSIFE will lead on the work with the Dutch YES campaign. IRF will coordinate with OSIFE and the YES Campaign, provide and manage grants to the Ukrainian participants</w:t>
            </w:r>
          </w:p>
        </w:tc>
      </w:tr>
      <w:tr w:rsidR="00DF2DC4" w:rsidTr="00DF2DC4">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2DC4" w:rsidRDefault="00DF2DC4">
            <w:pPr>
              <w:spacing w:line="276" w:lineRule="auto"/>
            </w:pPr>
            <w:r>
              <w:rPr>
                <w:b/>
                <w:bCs/>
                <w:color w:val="262626"/>
              </w:rPr>
              <w:t>Statement of who within OSF would guide the work</w:t>
            </w:r>
          </w:p>
        </w:tc>
        <w:tc>
          <w:tcPr>
            <w:tcW w:w="7217" w:type="dxa"/>
            <w:tcBorders>
              <w:top w:val="nil"/>
              <w:left w:val="nil"/>
              <w:bottom w:val="single" w:sz="8" w:space="0" w:color="auto"/>
              <w:right w:val="single" w:sz="8" w:space="0" w:color="auto"/>
            </w:tcBorders>
            <w:tcMar>
              <w:top w:w="0" w:type="dxa"/>
              <w:left w:w="108" w:type="dxa"/>
              <w:bottom w:w="0" w:type="dxa"/>
              <w:right w:w="108" w:type="dxa"/>
            </w:tcMar>
            <w:hideMark/>
          </w:tcPr>
          <w:p w:rsidR="00DF2DC4" w:rsidRDefault="00DF2DC4">
            <w:pPr>
              <w:spacing w:line="276" w:lineRule="auto"/>
            </w:pPr>
            <w:proofErr w:type="spellStart"/>
            <w:r>
              <w:t>Taras</w:t>
            </w:r>
            <w:proofErr w:type="spellEnd"/>
            <w:r>
              <w:t xml:space="preserve"> </w:t>
            </w:r>
            <w:proofErr w:type="spellStart"/>
            <w:r>
              <w:t>Kachka</w:t>
            </w:r>
            <w:proofErr w:type="spellEnd"/>
            <w:r>
              <w:t xml:space="preserve"> (IRF) will lead the work on the IRF side, with inputs from IRF Executive Director Yevhen Bystrytsky, Chair of the Board Oleksandr </w:t>
            </w:r>
            <w:proofErr w:type="spellStart"/>
            <w:r>
              <w:t>Sushko</w:t>
            </w:r>
            <w:proofErr w:type="spellEnd"/>
            <w:r>
              <w:t xml:space="preserve">, and Dmytro Shulga, Director of the European Initiative. Donal Mac Fhearraigh, OSIFE, Vladyslav Galushko, TTF, will lead the work within OSIFE with input from Goran Buldioski and Jordi Vaquer, co-directors OSIFE. On the Eurasia Program’s side, the team includes Tatyana Margolin (Eurasia Program) and Sarah Van Wettering (Eurasia Program). </w:t>
            </w:r>
          </w:p>
        </w:tc>
      </w:tr>
    </w:tbl>
    <w:p w:rsidR="00DF2DC4" w:rsidRDefault="00DF2DC4" w:rsidP="00DF2DC4">
      <w:pPr>
        <w:rPr>
          <w:lang w:val="fr-CH"/>
        </w:rPr>
      </w:pPr>
      <w:r>
        <w:t> </w:t>
      </w:r>
    </w:p>
    <w:tbl>
      <w:tblPr>
        <w:tblW w:w="9576" w:type="dxa"/>
        <w:tblCellMar>
          <w:left w:w="0" w:type="dxa"/>
          <w:right w:w="0" w:type="dxa"/>
        </w:tblCellMar>
        <w:tblLook w:val="04A0" w:firstRow="1" w:lastRow="0" w:firstColumn="1" w:lastColumn="0" w:noHBand="0" w:noVBand="1"/>
      </w:tblPr>
      <w:tblGrid>
        <w:gridCol w:w="2426"/>
        <w:gridCol w:w="1860"/>
        <w:gridCol w:w="1782"/>
        <w:gridCol w:w="3508"/>
      </w:tblGrid>
      <w:tr w:rsidR="00DF2DC4" w:rsidTr="00DF2DC4">
        <w:trPr>
          <w:trHeight w:val="169"/>
        </w:trPr>
        <w:tc>
          <w:tcPr>
            <w:tcW w:w="2359" w:type="dxa"/>
            <w:tcBorders>
              <w:top w:val="single" w:sz="8" w:space="0" w:color="auto"/>
              <w:left w:val="nil"/>
              <w:bottom w:val="single" w:sz="8" w:space="0" w:color="auto"/>
              <w:right w:val="nil"/>
            </w:tcBorders>
            <w:tcMar>
              <w:top w:w="0" w:type="dxa"/>
              <w:left w:w="108" w:type="dxa"/>
              <w:bottom w:w="0" w:type="dxa"/>
              <w:right w:w="108" w:type="dxa"/>
            </w:tcMar>
          </w:tcPr>
          <w:p w:rsidR="00DF2DC4" w:rsidRDefault="00DF2DC4">
            <w:pPr>
              <w:spacing w:line="276" w:lineRule="auto"/>
              <w:rPr>
                <w:b/>
                <w:bCs/>
                <w:color w:val="262626"/>
              </w:rPr>
            </w:pPr>
          </w:p>
        </w:tc>
        <w:tc>
          <w:tcPr>
            <w:tcW w:w="7217" w:type="dxa"/>
            <w:gridSpan w:val="3"/>
            <w:tcBorders>
              <w:top w:val="single" w:sz="8" w:space="0" w:color="auto"/>
              <w:left w:val="nil"/>
              <w:bottom w:val="single" w:sz="8" w:space="0" w:color="auto"/>
              <w:right w:val="nil"/>
            </w:tcBorders>
            <w:tcMar>
              <w:top w:w="0" w:type="dxa"/>
              <w:left w:w="108" w:type="dxa"/>
              <w:bottom w:w="0" w:type="dxa"/>
              <w:right w:w="108" w:type="dxa"/>
            </w:tcMar>
          </w:tcPr>
          <w:p w:rsidR="00DF2DC4" w:rsidRDefault="00DF2DC4">
            <w:pPr>
              <w:spacing w:line="276" w:lineRule="auto"/>
            </w:pPr>
          </w:p>
        </w:tc>
      </w:tr>
      <w:tr w:rsidR="00DF2DC4" w:rsidTr="00DF2DC4">
        <w:trPr>
          <w:trHeight w:val="229"/>
        </w:trPr>
        <w:tc>
          <w:tcPr>
            <w:tcW w:w="235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2DC4" w:rsidRDefault="00DF2DC4">
            <w:pPr>
              <w:rPr>
                <w:b/>
                <w:bCs/>
                <w:color w:val="262626"/>
              </w:rPr>
            </w:pPr>
            <w:r>
              <w:rPr>
                <w:b/>
                <w:bCs/>
                <w:color w:val="262626"/>
              </w:rPr>
              <w:t>Allocator</w:t>
            </w:r>
          </w:p>
          <w:p w:rsidR="00DF2DC4" w:rsidRDefault="00DF2DC4">
            <w:pPr>
              <w:spacing w:line="276" w:lineRule="auto"/>
              <w:rPr>
                <w:i/>
                <w:iCs/>
                <w:color w:val="262626"/>
              </w:rPr>
            </w:pPr>
            <w:r>
              <w:rPr>
                <w:i/>
                <w:iCs/>
                <w:color w:val="262626"/>
              </w:rPr>
              <w:t xml:space="preserve">(See list on </w:t>
            </w:r>
            <w:hyperlink r:id="rId6" w:history="1">
              <w:r>
                <w:rPr>
                  <w:rStyle w:val="Hyperlink"/>
                  <w:i/>
                  <w:iCs/>
                </w:rPr>
                <w:t>Reserve Funds KARL</w:t>
              </w:r>
            </w:hyperlink>
            <w:r>
              <w:rPr>
                <w:i/>
                <w:iCs/>
                <w:color w:val="262626"/>
              </w:rPr>
              <w:t>)</w:t>
            </w:r>
          </w:p>
        </w:tc>
        <w:tc>
          <w:tcPr>
            <w:tcW w:w="1594" w:type="dxa"/>
            <w:tcBorders>
              <w:top w:val="nil"/>
              <w:left w:val="nil"/>
              <w:bottom w:val="single" w:sz="8" w:space="0" w:color="auto"/>
              <w:right w:val="single" w:sz="8" w:space="0" w:color="auto"/>
            </w:tcBorders>
            <w:tcMar>
              <w:top w:w="0" w:type="dxa"/>
              <w:left w:w="108" w:type="dxa"/>
              <w:bottom w:w="0" w:type="dxa"/>
              <w:right w:w="108" w:type="dxa"/>
            </w:tcMar>
            <w:hideMark/>
          </w:tcPr>
          <w:p w:rsidR="00DF2DC4" w:rsidRDefault="00DF2DC4">
            <w:pPr>
              <w:spacing w:line="276" w:lineRule="auto"/>
              <w:rPr>
                <w:color w:val="262626"/>
              </w:rPr>
            </w:pPr>
            <w:r>
              <w:rPr>
                <w:color w:val="262626"/>
              </w:rPr>
              <w:t>Name</w:t>
            </w:r>
          </w:p>
        </w:tc>
        <w:tc>
          <w:tcPr>
            <w:tcW w:w="5623" w:type="dxa"/>
            <w:gridSpan w:val="2"/>
            <w:tcBorders>
              <w:top w:val="nil"/>
              <w:left w:val="nil"/>
              <w:bottom w:val="single" w:sz="8" w:space="0" w:color="auto"/>
              <w:right w:val="single" w:sz="8" w:space="0" w:color="auto"/>
            </w:tcBorders>
          </w:tcPr>
          <w:p w:rsidR="00DF2DC4" w:rsidRDefault="00DF2DC4">
            <w:pPr>
              <w:spacing w:line="276" w:lineRule="auto"/>
              <w:rPr>
                <w:color w:val="262626"/>
              </w:rPr>
            </w:pPr>
          </w:p>
        </w:tc>
      </w:tr>
      <w:tr w:rsidR="00DF2DC4" w:rsidTr="00DF2DC4">
        <w:trPr>
          <w:trHeight w:val="273"/>
        </w:trPr>
        <w:tc>
          <w:tcPr>
            <w:tcW w:w="0" w:type="auto"/>
            <w:vMerge/>
            <w:tcBorders>
              <w:top w:val="nil"/>
              <w:left w:val="single" w:sz="8" w:space="0" w:color="auto"/>
              <w:bottom w:val="single" w:sz="8" w:space="0" w:color="auto"/>
              <w:right w:val="single" w:sz="8" w:space="0" w:color="auto"/>
            </w:tcBorders>
            <w:vAlign w:val="center"/>
            <w:hideMark/>
          </w:tcPr>
          <w:p w:rsidR="00DF2DC4" w:rsidRDefault="00DF2DC4">
            <w:pPr>
              <w:rPr>
                <w:i/>
                <w:iCs/>
                <w:color w:val="262626"/>
              </w:rPr>
            </w:pPr>
          </w:p>
        </w:tc>
        <w:tc>
          <w:tcPr>
            <w:tcW w:w="1594" w:type="dxa"/>
            <w:tcBorders>
              <w:top w:val="nil"/>
              <w:left w:val="nil"/>
              <w:bottom w:val="single" w:sz="8" w:space="0" w:color="auto"/>
              <w:right w:val="single" w:sz="8" w:space="0" w:color="auto"/>
            </w:tcBorders>
            <w:tcMar>
              <w:top w:w="0" w:type="dxa"/>
              <w:left w:w="108" w:type="dxa"/>
              <w:bottom w:w="0" w:type="dxa"/>
              <w:right w:w="108" w:type="dxa"/>
            </w:tcMar>
            <w:hideMark/>
          </w:tcPr>
          <w:p w:rsidR="00DF2DC4" w:rsidRDefault="00DF2DC4">
            <w:pPr>
              <w:spacing w:line="276" w:lineRule="auto"/>
              <w:rPr>
                <w:color w:val="262626"/>
              </w:rPr>
            </w:pPr>
            <w:r>
              <w:rPr>
                <w:color w:val="262626"/>
              </w:rPr>
              <w:t>Date Approved</w:t>
            </w:r>
          </w:p>
        </w:tc>
        <w:tc>
          <w:tcPr>
            <w:tcW w:w="5623" w:type="dxa"/>
            <w:gridSpan w:val="2"/>
            <w:tcBorders>
              <w:top w:val="nil"/>
              <w:left w:val="nil"/>
              <w:bottom w:val="single" w:sz="8" w:space="0" w:color="auto"/>
              <w:right w:val="single" w:sz="8" w:space="0" w:color="auto"/>
            </w:tcBorders>
          </w:tcPr>
          <w:p w:rsidR="00DF2DC4" w:rsidRDefault="00DF2DC4">
            <w:pPr>
              <w:spacing w:line="276" w:lineRule="auto"/>
              <w:rPr>
                <w:color w:val="262626"/>
              </w:rPr>
            </w:pPr>
          </w:p>
        </w:tc>
      </w:tr>
      <w:tr w:rsidR="00DF2DC4" w:rsidTr="00DF2DC4">
        <w:trPr>
          <w:trHeight w:val="556"/>
        </w:trPr>
        <w:tc>
          <w:tcPr>
            <w:tcW w:w="2359" w:type="dxa"/>
            <w:vMerge w:val="restart"/>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hideMark/>
          </w:tcPr>
          <w:p w:rsidR="00DF2DC4" w:rsidRDefault="00DF2DC4">
            <w:pPr>
              <w:rPr>
                <w:b/>
                <w:bCs/>
                <w:color w:val="262626"/>
              </w:rPr>
            </w:pPr>
            <w:r>
              <w:rPr>
                <w:b/>
                <w:bCs/>
                <w:color w:val="262626"/>
              </w:rPr>
              <w:t>Allocator Notes / Comments</w:t>
            </w:r>
          </w:p>
          <w:p w:rsidR="00DF2DC4" w:rsidRDefault="00DF2DC4">
            <w:pPr>
              <w:spacing w:line="276" w:lineRule="auto"/>
              <w:rPr>
                <w:b/>
                <w:bCs/>
                <w:color w:val="262626"/>
              </w:rPr>
            </w:pPr>
            <w:r>
              <w:rPr>
                <w:i/>
                <w:iCs/>
                <w:color w:val="262626"/>
              </w:rPr>
              <w:lastRenderedPageBreak/>
              <w:t xml:space="preserve">(To be completed by </w:t>
            </w:r>
            <w:r>
              <w:rPr>
                <w:i/>
                <w:iCs/>
                <w:color w:val="262626"/>
                <w:u w:val="single"/>
              </w:rPr>
              <w:t>allocator only</w:t>
            </w:r>
            <w:r>
              <w:rPr>
                <w:i/>
                <w:iCs/>
                <w:color w:val="262626"/>
              </w:rPr>
              <w:t>)</w:t>
            </w:r>
          </w:p>
        </w:tc>
        <w:tc>
          <w:tcPr>
            <w:tcW w:w="7217" w:type="dxa"/>
            <w:gridSpan w:val="3"/>
            <w:tcBorders>
              <w:top w:val="nil"/>
              <w:left w:val="nil"/>
              <w:bottom w:val="single" w:sz="8" w:space="0" w:color="auto"/>
              <w:right w:val="single" w:sz="8" w:space="0" w:color="auto"/>
            </w:tcBorders>
            <w:shd w:val="clear" w:color="auto" w:fill="CCFFCC"/>
            <w:tcMar>
              <w:top w:w="0" w:type="dxa"/>
              <w:left w:w="108" w:type="dxa"/>
              <w:bottom w:w="0" w:type="dxa"/>
              <w:right w:w="108" w:type="dxa"/>
            </w:tcMar>
          </w:tcPr>
          <w:p w:rsidR="00DF2DC4" w:rsidRDefault="00DF2DC4">
            <w:pPr>
              <w:rPr>
                <w:i/>
                <w:iCs/>
                <w:color w:val="262626"/>
              </w:rPr>
            </w:pPr>
            <w:r>
              <w:rPr>
                <w:i/>
                <w:iCs/>
                <w:color w:val="262626"/>
              </w:rPr>
              <w:lastRenderedPageBreak/>
              <w:t>(Notes/Comments - Optional field)</w:t>
            </w:r>
          </w:p>
          <w:p w:rsidR="00DF2DC4" w:rsidRDefault="00DF2DC4">
            <w:pPr>
              <w:spacing w:line="276" w:lineRule="auto"/>
              <w:rPr>
                <w:color w:val="262626"/>
              </w:rPr>
            </w:pPr>
          </w:p>
        </w:tc>
      </w:tr>
      <w:tr w:rsidR="00DF2DC4" w:rsidTr="00DF2DC4">
        <w:trPr>
          <w:trHeight w:val="665"/>
        </w:trPr>
        <w:tc>
          <w:tcPr>
            <w:tcW w:w="0" w:type="auto"/>
            <w:vMerge/>
            <w:tcBorders>
              <w:top w:val="nil"/>
              <w:left w:val="single" w:sz="8" w:space="0" w:color="auto"/>
              <w:bottom w:val="single" w:sz="8" w:space="0" w:color="auto"/>
              <w:right w:val="single" w:sz="8" w:space="0" w:color="auto"/>
            </w:tcBorders>
            <w:vAlign w:val="center"/>
            <w:hideMark/>
          </w:tcPr>
          <w:p w:rsidR="00DF2DC4" w:rsidRDefault="00DF2DC4">
            <w:pPr>
              <w:rPr>
                <w:b/>
                <w:bCs/>
                <w:color w:val="262626"/>
              </w:rPr>
            </w:pPr>
          </w:p>
        </w:tc>
        <w:tc>
          <w:tcPr>
            <w:tcW w:w="7217" w:type="dxa"/>
            <w:gridSpan w:val="3"/>
            <w:tcBorders>
              <w:top w:val="nil"/>
              <w:left w:val="nil"/>
              <w:bottom w:val="single" w:sz="8" w:space="0" w:color="auto"/>
              <w:right w:val="single" w:sz="8" w:space="0" w:color="auto"/>
            </w:tcBorders>
            <w:shd w:val="clear" w:color="auto" w:fill="CCFFCC"/>
            <w:tcMar>
              <w:top w:w="0" w:type="dxa"/>
              <w:left w:w="108" w:type="dxa"/>
              <w:bottom w:w="0" w:type="dxa"/>
              <w:right w:w="108" w:type="dxa"/>
            </w:tcMar>
            <w:hideMark/>
          </w:tcPr>
          <w:p w:rsidR="00DF2DC4" w:rsidRDefault="00DF2DC4">
            <w:pPr>
              <w:rPr>
                <w:i/>
                <w:iCs/>
              </w:rPr>
            </w:pPr>
            <w:r>
              <w:rPr>
                <w:i/>
                <w:iCs/>
              </w:rPr>
              <w:t>(Criteria checklist)</w:t>
            </w:r>
          </w:p>
          <w:p w:rsidR="00DF2DC4" w:rsidRDefault="00DF2DC4">
            <w:pPr>
              <w:rPr>
                <w:color w:val="262626"/>
              </w:rPr>
            </w:pPr>
            <w:r>
              <w:t>X</w:t>
            </w:r>
            <w:r>
              <w:rPr>
                <w:color w:val="262626"/>
              </w:rPr>
              <w:t xml:space="preserve"> Is this an </w:t>
            </w:r>
            <w:r>
              <w:rPr>
                <w:color w:val="262626"/>
                <w:u w:val="single"/>
              </w:rPr>
              <w:t>unforeseen</w:t>
            </w:r>
            <w:r>
              <w:rPr>
                <w:color w:val="262626"/>
              </w:rPr>
              <w:t xml:space="preserve"> opportunity or a genuinely new idea to advance core open society commitments?</w:t>
            </w:r>
          </w:p>
          <w:p w:rsidR="00DF2DC4" w:rsidRDefault="00DF2DC4">
            <w:pPr>
              <w:rPr>
                <w:color w:val="262626"/>
              </w:rPr>
            </w:pPr>
            <w:r>
              <w:t>X</w:t>
            </w:r>
            <w:r>
              <w:rPr>
                <w:color w:val="262626"/>
              </w:rPr>
              <w:t xml:space="preserve"> Is the need time-sensitive?  </w:t>
            </w:r>
          </w:p>
          <w:p w:rsidR="00DF2DC4" w:rsidRDefault="00DF2DC4">
            <w:pPr>
              <w:rPr>
                <w:color w:val="262626"/>
              </w:rPr>
            </w:pPr>
            <w:r>
              <w:t>X</w:t>
            </w:r>
            <w:r>
              <w:rPr>
                <w:color w:val="262626"/>
              </w:rPr>
              <w:t xml:space="preserve"> Are we proposing to do something that others are not doing?  </w:t>
            </w:r>
          </w:p>
          <w:p w:rsidR="00DF2DC4" w:rsidRDefault="00DF2DC4">
            <w:pPr>
              <w:rPr>
                <w:color w:val="262626"/>
              </w:rPr>
            </w:pPr>
            <w:r>
              <w:t>X</w:t>
            </w:r>
            <w:r>
              <w:rPr>
                <w:color w:val="262626"/>
              </w:rPr>
              <w:t xml:space="preserve"> Is the plan compelling?  </w:t>
            </w:r>
          </w:p>
          <w:p w:rsidR="00DF2DC4" w:rsidRDefault="00DF2DC4">
            <w:pPr>
              <w:rPr>
                <w:color w:val="262626"/>
              </w:rPr>
            </w:pPr>
            <w:r>
              <w:t>X</w:t>
            </w:r>
            <w:r>
              <w:rPr>
                <w:color w:val="262626"/>
              </w:rPr>
              <w:t xml:space="preserve"> Does the planned activity take good advantage of OSF capacity?  </w:t>
            </w:r>
          </w:p>
          <w:p w:rsidR="00DF2DC4" w:rsidRDefault="00DF2DC4">
            <w:r>
              <w:t>X</w:t>
            </w:r>
            <w:r>
              <w:rPr>
                <w:color w:val="262626"/>
              </w:rPr>
              <w:t xml:space="preserve"> Is the team leading the work up to the task?</w:t>
            </w:r>
            <w:r>
              <w:t xml:space="preserve">  </w:t>
            </w:r>
          </w:p>
        </w:tc>
      </w:tr>
      <w:tr w:rsidR="00DF2DC4" w:rsidTr="00DF2DC4">
        <w:trPr>
          <w:trHeight w:val="511"/>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2DC4" w:rsidRDefault="00DF2DC4">
            <w:pPr>
              <w:spacing w:line="276" w:lineRule="auto"/>
              <w:rPr>
                <w:b/>
                <w:bCs/>
                <w:color w:val="262626"/>
              </w:rPr>
            </w:pPr>
            <w:r>
              <w:rPr>
                <w:b/>
                <w:bCs/>
                <w:color w:val="262626"/>
              </w:rPr>
              <w:lastRenderedPageBreak/>
              <w:t>Urgency level for grant approval &amp; payments</w:t>
            </w: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DF2DC4" w:rsidRDefault="00DF2DC4">
            <w:pPr>
              <w:pStyle w:val="ColorfulList-Accent11"/>
              <w:spacing w:after="0" w:line="240" w:lineRule="auto"/>
              <w:ind w:left="0"/>
            </w:pPr>
            <w:r>
              <w:rPr>
                <w:rFonts w:ascii="MS Gothic" w:eastAsia="MS Gothic" w:hAnsi="MS Gothic" w:hint="eastAsia"/>
              </w:rPr>
              <w:t>☐</w:t>
            </w:r>
            <w:r>
              <w:t xml:space="preserve"> </w:t>
            </w:r>
            <w:r>
              <w:rPr>
                <w:b/>
                <w:bCs/>
                <w:u w:val="single"/>
              </w:rPr>
              <w:t>Not</w:t>
            </w:r>
            <w:r>
              <w:t xml:space="preserve"> Rapid Response </w:t>
            </w:r>
          </w:p>
        </w:tc>
        <w:tc>
          <w:tcPr>
            <w:tcW w:w="3661" w:type="dxa"/>
            <w:tcBorders>
              <w:top w:val="nil"/>
              <w:left w:val="nil"/>
              <w:bottom w:val="single" w:sz="8" w:space="0" w:color="auto"/>
              <w:right w:val="single" w:sz="8" w:space="0" w:color="auto"/>
            </w:tcBorders>
            <w:vAlign w:val="center"/>
            <w:hideMark/>
          </w:tcPr>
          <w:p w:rsidR="00DF2DC4" w:rsidRDefault="00DF2DC4">
            <w:pPr>
              <w:pStyle w:val="ColorfulList-Accent11"/>
              <w:spacing w:after="0" w:line="240" w:lineRule="auto"/>
              <w:ind w:left="0"/>
            </w:pPr>
            <w:r>
              <w:t>  </w:t>
            </w:r>
            <w:r>
              <w:rPr>
                <w:rFonts w:ascii="MS Gothic" w:eastAsia="MS Gothic" w:hAnsi="MS Gothic" w:hint="eastAsia"/>
              </w:rPr>
              <w:t>☒</w:t>
            </w:r>
            <w:r>
              <w:t xml:space="preserve"> Rapid Response </w:t>
            </w:r>
            <w:r>
              <w:rPr>
                <w:i/>
                <w:iCs/>
                <w:color w:val="262626"/>
              </w:rPr>
              <w:t xml:space="preserve">(See procedure on </w:t>
            </w:r>
            <w:hyperlink r:id="rId7" w:history="1">
              <w:r>
                <w:rPr>
                  <w:rStyle w:val="Hyperlink"/>
                  <w:i/>
                  <w:iCs/>
                </w:rPr>
                <w:t>KARL</w:t>
              </w:r>
            </w:hyperlink>
            <w:r>
              <w:rPr>
                <w:i/>
                <w:iCs/>
                <w:color w:val="262626"/>
              </w:rPr>
              <w:t>)</w:t>
            </w:r>
          </w:p>
        </w:tc>
      </w:tr>
      <w:tr w:rsidR="00DF2DC4" w:rsidTr="00DF2DC4">
        <w:trPr>
          <w:trHeight w:val="287"/>
        </w:trPr>
        <w:tc>
          <w:tcPr>
            <w:tcW w:w="235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2DC4" w:rsidRDefault="00DF2DC4">
            <w:pPr>
              <w:rPr>
                <w:b/>
                <w:bCs/>
                <w:color w:val="262626"/>
              </w:rPr>
            </w:pPr>
            <w:r>
              <w:rPr>
                <w:b/>
                <w:bCs/>
                <w:color w:val="262626"/>
              </w:rPr>
              <w:t xml:space="preserve">If approved, where to allocate the budget? </w:t>
            </w:r>
          </w:p>
          <w:p w:rsidR="00DF2DC4" w:rsidRDefault="00DF2DC4">
            <w:pPr>
              <w:spacing w:line="276" w:lineRule="auto"/>
              <w:rPr>
                <w:b/>
                <w:bCs/>
                <w:color w:val="262626"/>
              </w:rPr>
            </w:pPr>
            <w:r>
              <w:rPr>
                <w:i/>
                <w:iCs/>
                <w:color w:val="262626"/>
              </w:rPr>
              <w:t>(If the budget is split between multiple programs, please copy/paste this section as needed.)</w:t>
            </w: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F2DC4" w:rsidRDefault="00DF2DC4">
            <w:pPr>
              <w:pStyle w:val="ColorfulList-Accent11"/>
              <w:spacing w:after="0" w:line="240" w:lineRule="auto"/>
              <w:ind w:left="0"/>
            </w:pPr>
            <w:r>
              <w:t>Amount</w:t>
            </w:r>
          </w:p>
        </w:tc>
        <w:tc>
          <w:tcPr>
            <w:tcW w:w="3661" w:type="dxa"/>
            <w:tcBorders>
              <w:top w:val="nil"/>
              <w:left w:val="nil"/>
              <w:bottom w:val="single" w:sz="8" w:space="0" w:color="auto"/>
              <w:right w:val="single" w:sz="8" w:space="0" w:color="auto"/>
            </w:tcBorders>
            <w:hideMark/>
          </w:tcPr>
          <w:p w:rsidR="00DF2DC4" w:rsidRDefault="00DF2DC4">
            <w:pPr>
              <w:pStyle w:val="ColorfulList-Accent11"/>
              <w:spacing w:after="0" w:line="240" w:lineRule="auto"/>
              <w:ind w:left="0"/>
            </w:pPr>
            <w:r>
              <w:t>$195,000</w:t>
            </w:r>
          </w:p>
        </w:tc>
      </w:tr>
      <w:tr w:rsidR="00DF2DC4" w:rsidTr="00DF2DC4">
        <w:trPr>
          <w:trHeight w:val="288"/>
        </w:trPr>
        <w:tc>
          <w:tcPr>
            <w:tcW w:w="0" w:type="auto"/>
            <w:vMerge/>
            <w:tcBorders>
              <w:top w:val="nil"/>
              <w:left w:val="single" w:sz="8" w:space="0" w:color="auto"/>
              <w:bottom w:val="single" w:sz="8" w:space="0" w:color="auto"/>
              <w:right w:val="single" w:sz="8" w:space="0" w:color="auto"/>
            </w:tcBorders>
            <w:vAlign w:val="center"/>
            <w:hideMark/>
          </w:tcPr>
          <w:p w:rsidR="00DF2DC4" w:rsidRDefault="00DF2DC4">
            <w:pPr>
              <w:rPr>
                <w:b/>
                <w:bCs/>
                <w:color w:val="262626"/>
              </w:rPr>
            </w:pP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F2DC4" w:rsidRDefault="00DF2DC4">
            <w:pPr>
              <w:pStyle w:val="ColorfulList-Accent11"/>
              <w:spacing w:after="0" w:line="240" w:lineRule="auto"/>
              <w:ind w:left="0"/>
            </w:pPr>
            <w:r>
              <w:t>Category of Work</w:t>
            </w:r>
          </w:p>
        </w:tc>
        <w:tc>
          <w:tcPr>
            <w:tcW w:w="3661" w:type="dxa"/>
            <w:tcBorders>
              <w:top w:val="nil"/>
              <w:left w:val="nil"/>
              <w:bottom w:val="single" w:sz="8" w:space="0" w:color="auto"/>
              <w:right w:val="single" w:sz="8" w:space="0" w:color="auto"/>
            </w:tcBorders>
            <w:hideMark/>
          </w:tcPr>
          <w:p w:rsidR="00DF2DC4" w:rsidRDefault="00DF2DC4">
            <w:pPr>
              <w:pStyle w:val="ColorfulList-Accent11"/>
              <w:spacing w:after="0" w:line="240" w:lineRule="auto"/>
              <w:ind w:left="0"/>
            </w:pPr>
            <w:r>
              <w:t>C3/CUA006</w:t>
            </w:r>
          </w:p>
        </w:tc>
      </w:tr>
      <w:tr w:rsidR="00DF2DC4" w:rsidTr="00DF2DC4">
        <w:trPr>
          <w:trHeight w:val="287"/>
        </w:trPr>
        <w:tc>
          <w:tcPr>
            <w:tcW w:w="0" w:type="auto"/>
            <w:vMerge/>
            <w:tcBorders>
              <w:top w:val="nil"/>
              <w:left w:val="single" w:sz="8" w:space="0" w:color="auto"/>
              <w:bottom w:val="single" w:sz="8" w:space="0" w:color="auto"/>
              <w:right w:val="single" w:sz="8" w:space="0" w:color="auto"/>
            </w:tcBorders>
            <w:vAlign w:val="center"/>
            <w:hideMark/>
          </w:tcPr>
          <w:p w:rsidR="00DF2DC4" w:rsidRDefault="00DF2DC4">
            <w:pPr>
              <w:rPr>
                <w:b/>
                <w:bCs/>
                <w:color w:val="262626"/>
              </w:rPr>
            </w:pP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F2DC4" w:rsidRDefault="00DF2DC4">
            <w:pPr>
              <w:pStyle w:val="ColorfulList-Accent11"/>
              <w:spacing w:after="0" w:line="240" w:lineRule="auto"/>
              <w:ind w:left="0"/>
            </w:pPr>
            <w:r>
              <w:t>Division/Program Code</w:t>
            </w:r>
          </w:p>
        </w:tc>
        <w:tc>
          <w:tcPr>
            <w:tcW w:w="3661" w:type="dxa"/>
            <w:tcBorders>
              <w:top w:val="nil"/>
              <w:left w:val="nil"/>
              <w:bottom w:val="single" w:sz="8" w:space="0" w:color="auto"/>
              <w:right w:val="single" w:sz="8" w:space="0" w:color="auto"/>
            </w:tcBorders>
            <w:hideMark/>
          </w:tcPr>
          <w:p w:rsidR="00DF2DC4" w:rsidRDefault="00DF2DC4">
            <w:pPr>
              <w:pStyle w:val="ColorfulList-Accent11"/>
              <w:spacing w:after="0" w:line="240" w:lineRule="auto"/>
              <w:ind w:left="0"/>
            </w:pPr>
            <w:r>
              <w:t>63610</w:t>
            </w:r>
          </w:p>
        </w:tc>
      </w:tr>
      <w:tr w:rsidR="00DF2DC4" w:rsidTr="00DF2DC4">
        <w:trPr>
          <w:trHeight w:val="288"/>
        </w:trPr>
        <w:tc>
          <w:tcPr>
            <w:tcW w:w="0" w:type="auto"/>
            <w:vMerge/>
            <w:tcBorders>
              <w:top w:val="nil"/>
              <w:left w:val="single" w:sz="8" w:space="0" w:color="auto"/>
              <w:bottom w:val="single" w:sz="8" w:space="0" w:color="auto"/>
              <w:right w:val="single" w:sz="8" w:space="0" w:color="auto"/>
            </w:tcBorders>
            <w:vAlign w:val="center"/>
            <w:hideMark/>
          </w:tcPr>
          <w:p w:rsidR="00DF2DC4" w:rsidRDefault="00DF2DC4">
            <w:pPr>
              <w:rPr>
                <w:b/>
                <w:bCs/>
                <w:color w:val="262626"/>
              </w:rPr>
            </w:pP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F2DC4" w:rsidRDefault="00DF2DC4">
            <w:pPr>
              <w:pStyle w:val="ColorfulList-Accent11"/>
              <w:spacing w:after="0" w:line="240" w:lineRule="auto"/>
              <w:ind w:left="0"/>
            </w:pPr>
            <w:r>
              <w:t xml:space="preserve">Entity </w:t>
            </w:r>
            <w:r>
              <w:rPr>
                <w:i/>
                <w:iCs/>
              </w:rPr>
              <w:t>(i.e., FPOS, ZUG)</w:t>
            </w:r>
          </w:p>
        </w:tc>
        <w:tc>
          <w:tcPr>
            <w:tcW w:w="3661" w:type="dxa"/>
            <w:tcBorders>
              <w:top w:val="nil"/>
              <w:left w:val="nil"/>
              <w:bottom w:val="single" w:sz="8" w:space="0" w:color="auto"/>
              <w:right w:val="single" w:sz="8" w:space="0" w:color="auto"/>
            </w:tcBorders>
            <w:hideMark/>
          </w:tcPr>
          <w:p w:rsidR="00DF2DC4" w:rsidRDefault="00DF2DC4">
            <w:pPr>
              <w:pStyle w:val="ColorfulList-Accent11"/>
              <w:spacing w:after="0" w:line="240" w:lineRule="auto"/>
              <w:ind w:left="0"/>
            </w:pPr>
            <w:r>
              <w:t>ZUG</w:t>
            </w:r>
          </w:p>
        </w:tc>
      </w:tr>
      <w:tr w:rsidR="00DF2DC4" w:rsidTr="00DF2DC4">
        <w:trPr>
          <w:trHeight w:val="287"/>
        </w:trPr>
        <w:tc>
          <w:tcPr>
            <w:tcW w:w="0" w:type="auto"/>
            <w:vMerge/>
            <w:tcBorders>
              <w:top w:val="nil"/>
              <w:left w:val="single" w:sz="8" w:space="0" w:color="auto"/>
              <w:bottom w:val="single" w:sz="8" w:space="0" w:color="auto"/>
              <w:right w:val="single" w:sz="8" w:space="0" w:color="auto"/>
            </w:tcBorders>
            <w:vAlign w:val="center"/>
            <w:hideMark/>
          </w:tcPr>
          <w:p w:rsidR="00DF2DC4" w:rsidRDefault="00DF2DC4">
            <w:pPr>
              <w:rPr>
                <w:b/>
                <w:bCs/>
                <w:color w:val="262626"/>
              </w:rPr>
            </w:pP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F2DC4" w:rsidRDefault="00DF2DC4">
            <w:pPr>
              <w:pStyle w:val="ColorfulList-Accent11"/>
              <w:spacing w:after="0" w:line="240" w:lineRule="auto"/>
              <w:ind w:left="0"/>
            </w:pPr>
            <w:r>
              <w:t xml:space="preserve">Fund Class </w:t>
            </w:r>
            <w:r>
              <w:rPr>
                <w:i/>
                <w:iCs/>
              </w:rPr>
              <w:t>(i.e., Lobbying/Non-Lobbying)</w:t>
            </w:r>
          </w:p>
        </w:tc>
        <w:tc>
          <w:tcPr>
            <w:tcW w:w="3661" w:type="dxa"/>
            <w:tcBorders>
              <w:top w:val="nil"/>
              <w:left w:val="nil"/>
              <w:bottom w:val="single" w:sz="8" w:space="0" w:color="auto"/>
              <w:right w:val="single" w:sz="8" w:space="0" w:color="auto"/>
            </w:tcBorders>
            <w:hideMark/>
          </w:tcPr>
          <w:p w:rsidR="00DF2DC4" w:rsidRDefault="00DF2DC4">
            <w:pPr>
              <w:pStyle w:val="ColorfulList-Accent11"/>
              <w:spacing w:after="0" w:line="240" w:lineRule="auto"/>
              <w:ind w:left="0"/>
            </w:pPr>
            <w:r>
              <w:t>Lobbying</w:t>
            </w:r>
          </w:p>
        </w:tc>
      </w:tr>
      <w:tr w:rsidR="00DF2DC4" w:rsidTr="00DF2DC4">
        <w:trPr>
          <w:trHeight w:val="288"/>
        </w:trPr>
        <w:tc>
          <w:tcPr>
            <w:tcW w:w="0" w:type="auto"/>
            <w:vMerge/>
            <w:tcBorders>
              <w:top w:val="nil"/>
              <w:left w:val="single" w:sz="8" w:space="0" w:color="auto"/>
              <w:bottom w:val="single" w:sz="8" w:space="0" w:color="auto"/>
              <w:right w:val="single" w:sz="8" w:space="0" w:color="auto"/>
            </w:tcBorders>
            <w:vAlign w:val="center"/>
            <w:hideMark/>
          </w:tcPr>
          <w:p w:rsidR="00DF2DC4" w:rsidRDefault="00DF2DC4">
            <w:pPr>
              <w:rPr>
                <w:b/>
                <w:bCs/>
                <w:color w:val="262626"/>
              </w:rPr>
            </w:pP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F2DC4" w:rsidRDefault="00DF2DC4">
            <w:pPr>
              <w:pStyle w:val="ColorfulList-Accent11"/>
              <w:spacing w:after="0" w:line="240" w:lineRule="auto"/>
              <w:ind w:left="0"/>
            </w:pPr>
            <w:r>
              <w:t xml:space="preserve">Geography </w:t>
            </w:r>
            <w:r>
              <w:rPr>
                <w:i/>
                <w:iCs/>
              </w:rPr>
              <w:t>(of benefit)</w:t>
            </w:r>
          </w:p>
        </w:tc>
        <w:tc>
          <w:tcPr>
            <w:tcW w:w="3661" w:type="dxa"/>
            <w:tcBorders>
              <w:top w:val="nil"/>
              <w:left w:val="nil"/>
              <w:bottom w:val="single" w:sz="8" w:space="0" w:color="auto"/>
              <w:right w:val="single" w:sz="8" w:space="0" w:color="auto"/>
            </w:tcBorders>
            <w:hideMark/>
          </w:tcPr>
          <w:p w:rsidR="00DF2DC4" w:rsidRDefault="00DF2DC4">
            <w:pPr>
              <w:pStyle w:val="ColorfulList-Accent11"/>
              <w:spacing w:after="0" w:line="240" w:lineRule="auto"/>
              <w:ind w:left="0"/>
            </w:pPr>
            <w:r>
              <w:t>Ukraine</w:t>
            </w:r>
          </w:p>
        </w:tc>
      </w:tr>
      <w:tr w:rsidR="00DF2DC4" w:rsidTr="00DF2DC4">
        <w:tc>
          <w:tcPr>
            <w:tcW w:w="2955" w:type="dxa"/>
            <w:vAlign w:val="center"/>
            <w:hideMark/>
          </w:tcPr>
          <w:p w:rsidR="00DF2DC4" w:rsidRDefault="00DF2DC4">
            <w:pPr>
              <w:rPr>
                <w:rFonts w:ascii="Times New Roman" w:eastAsia="Times New Roman" w:hAnsi="Times New Roman"/>
                <w:sz w:val="20"/>
                <w:szCs w:val="20"/>
              </w:rPr>
            </w:pPr>
          </w:p>
        </w:tc>
        <w:tc>
          <w:tcPr>
            <w:tcW w:w="1995" w:type="dxa"/>
            <w:vAlign w:val="center"/>
            <w:hideMark/>
          </w:tcPr>
          <w:p w:rsidR="00DF2DC4" w:rsidRDefault="00DF2DC4">
            <w:pPr>
              <w:rPr>
                <w:rFonts w:ascii="Times New Roman" w:eastAsia="Times New Roman" w:hAnsi="Times New Roman"/>
                <w:sz w:val="20"/>
                <w:szCs w:val="20"/>
              </w:rPr>
            </w:pPr>
          </w:p>
        </w:tc>
        <w:tc>
          <w:tcPr>
            <w:tcW w:w="2460" w:type="dxa"/>
            <w:vAlign w:val="center"/>
            <w:hideMark/>
          </w:tcPr>
          <w:p w:rsidR="00DF2DC4" w:rsidRDefault="00DF2DC4">
            <w:pPr>
              <w:rPr>
                <w:rFonts w:ascii="Times New Roman" w:eastAsia="Times New Roman" w:hAnsi="Times New Roman"/>
                <w:sz w:val="20"/>
                <w:szCs w:val="20"/>
              </w:rPr>
            </w:pPr>
          </w:p>
        </w:tc>
        <w:tc>
          <w:tcPr>
            <w:tcW w:w="4575" w:type="dxa"/>
            <w:vAlign w:val="center"/>
            <w:hideMark/>
          </w:tcPr>
          <w:p w:rsidR="00DF2DC4" w:rsidRDefault="00DF2DC4">
            <w:pPr>
              <w:rPr>
                <w:rFonts w:ascii="Times New Roman" w:eastAsia="Times New Roman" w:hAnsi="Times New Roman"/>
                <w:sz w:val="20"/>
                <w:szCs w:val="20"/>
              </w:rPr>
            </w:pPr>
          </w:p>
        </w:tc>
      </w:tr>
    </w:tbl>
    <w:p w:rsidR="00DF2DC4" w:rsidRDefault="00DF2DC4" w:rsidP="00DF2DC4">
      <w:pPr>
        <w:rPr>
          <w:lang w:val="fr-CH"/>
        </w:rPr>
      </w:pPr>
    </w:p>
    <w:p w:rsidR="0041614E" w:rsidRDefault="0041614E">
      <w:bookmarkStart w:id="0" w:name="_GoBack"/>
      <w:bookmarkEnd w:id="0"/>
    </w:p>
    <w:sectPr w:rsidR="00416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0B35A6"/>
    <w:multiLevelType w:val="hybridMultilevel"/>
    <w:tmpl w:val="BC3A97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703D3371"/>
    <w:multiLevelType w:val="hybridMultilevel"/>
    <w:tmpl w:val="89949A60"/>
    <w:lvl w:ilvl="0" w:tplc="B62C69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DC4"/>
    <w:rsid w:val="0041614E"/>
    <w:rsid w:val="00DF2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DC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2DC4"/>
    <w:rPr>
      <w:color w:val="0000FF"/>
      <w:u w:val="single"/>
    </w:rPr>
  </w:style>
  <w:style w:type="paragraph" w:styleId="ListParagraph">
    <w:name w:val="List Paragraph"/>
    <w:basedOn w:val="Normal"/>
    <w:uiPriority w:val="99"/>
    <w:qFormat/>
    <w:rsid w:val="00DF2DC4"/>
    <w:pPr>
      <w:ind w:left="720"/>
    </w:pPr>
  </w:style>
  <w:style w:type="paragraph" w:customStyle="1" w:styleId="ColorfulList-Accent11">
    <w:name w:val="Colorful List - Accent 11"/>
    <w:basedOn w:val="Normal"/>
    <w:uiPriority w:val="34"/>
    <w:rsid w:val="00DF2DC4"/>
    <w:pPr>
      <w:spacing w:after="200" w:line="276" w:lineRule="auto"/>
      <w:ind w:left="720"/>
      <w:contextualSpacing/>
    </w:pPr>
  </w:style>
  <w:style w:type="character" w:styleId="CommentReference">
    <w:name w:val="annotation reference"/>
    <w:basedOn w:val="DefaultParagraphFont"/>
    <w:uiPriority w:val="99"/>
    <w:semiHidden/>
    <w:unhideWhenUsed/>
    <w:rsid w:val="00DF2DC4"/>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DC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2DC4"/>
    <w:rPr>
      <w:color w:val="0000FF"/>
      <w:u w:val="single"/>
    </w:rPr>
  </w:style>
  <w:style w:type="paragraph" w:styleId="ListParagraph">
    <w:name w:val="List Paragraph"/>
    <w:basedOn w:val="Normal"/>
    <w:uiPriority w:val="99"/>
    <w:qFormat/>
    <w:rsid w:val="00DF2DC4"/>
    <w:pPr>
      <w:ind w:left="720"/>
    </w:pPr>
  </w:style>
  <w:style w:type="paragraph" w:customStyle="1" w:styleId="ColorfulList-Accent11">
    <w:name w:val="Colorful List - Accent 11"/>
    <w:basedOn w:val="Normal"/>
    <w:uiPriority w:val="34"/>
    <w:rsid w:val="00DF2DC4"/>
    <w:pPr>
      <w:spacing w:after="200" w:line="276" w:lineRule="auto"/>
      <w:ind w:left="720"/>
      <w:contextualSpacing/>
    </w:pPr>
  </w:style>
  <w:style w:type="character" w:styleId="CommentReference">
    <w:name w:val="annotation reference"/>
    <w:basedOn w:val="DefaultParagraphFont"/>
    <w:uiPriority w:val="99"/>
    <w:semiHidden/>
    <w:unhideWhenUsed/>
    <w:rsid w:val="00DF2DC4"/>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81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karl.soros.org/communities/reserves/files/ii.-policies/rapid-response-as-of-10-november-2014.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rl.soros.org/communities/reserves/view.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OSF Budapest</Company>
  <LinksUpToDate>false</LinksUpToDate>
  <CharactersWithSpaces>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Knuth</dc:creator>
  <cp:lastModifiedBy>David Knuth</cp:lastModifiedBy>
  <cp:revision>1</cp:revision>
  <dcterms:created xsi:type="dcterms:W3CDTF">2016-02-08T07:52:00Z</dcterms:created>
  <dcterms:modified xsi:type="dcterms:W3CDTF">2016-02-08T07:53:00Z</dcterms:modified>
</cp:coreProperties>
</file>