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B17B64" w:rsidTr="0011279D">
        <w:trPr>
          <w:trHeight w:val="350"/>
        </w:trPr>
        <w:tc>
          <w:tcPr>
            <w:tcW w:w="2448" w:type="dxa"/>
            <w:shd w:val="clear" w:color="auto" w:fill="auto"/>
            <w:tcMar>
              <w:top w:w="0" w:type="dxa"/>
              <w:left w:w="108" w:type="dxa"/>
              <w:bottom w:w="0" w:type="dxa"/>
              <w:right w:w="108" w:type="dxa"/>
            </w:tcMar>
            <w:hideMark/>
          </w:tcPr>
          <w:p w:rsidR="00B17B64" w:rsidRPr="003830A8" w:rsidRDefault="00B17B64" w:rsidP="0011279D">
            <w:pPr>
              <w:spacing w:after="0"/>
              <w:rPr>
                <w:rFonts w:ascii="Calibri" w:hAnsi="Calibri"/>
                <w:b/>
                <w:bCs/>
                <w:color w:val="262626"/>
              </w:rPr>
            </w:pPr>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B17B64" w:rsidRPr="003830A8" w:rsidRDefault="004D1392" w:rsidP="0011279D">
            <w:pPr>
              <w:spacing w:after="0"/>
              <w:rPr>
                <w:rFonts w:ascii="Calibri" w:hAnsi="Calibri"/>
                <w:color w:val="262626"/>
                <w:sz w:val="20"/>
                <w:szCs w:val="20"/>
              </w:rPr>
            </w:pPr>
            <w:r>
              <w:rPr>
                <w:rFonts w:ascii="Calibri" w:hAnsi="Calibri"/>
                <w:color w:val="262626"/>
                <w:sz w:val="20"/>
                <w:szCs w:val="20"/>
              </w:rPr>
              <w:t>Fostering a New Era in Global Drug Policy</w:t>
            </w:r>
          </w:p>
        </w:tc>
      </w:tr>
      <w:tr w:rsidR="004D1392" w:rsidTr="0011279D">
        <w:trPr>
          <w:trHeight w:val="20"/>
        </w:trPr>
        <w:tc>
          <w:tcPr>
            <w:tcW w:w="2448" w:type="dxa"/>
            <w:shd w:val="clear" w:color="auto" w:fill="auto"/>
            <w:tcMar>
              <w:top w:w="0" w:type="dxa"/>
              <w:left w:w="108" w:type="dxa"/>
              <w:bottom w:w="0" w:type="dxa"/>
              <w:right w:w="108" w:type="dxa"/>
            </w:tcMar>
          </w:tcPr>
          <w:p w:rsidR="004D1392" w:rsidRPr="003830A8" w:rsidRDefault="004D1392" w:rsidP="0011279D">
            <w:pPr>
              <w:spacing w:after="0"/>
              <w:rPr>
                <w:b/>
                <w:bCs/>
                <w:color w:val="262626"/>
              </w:rPr>
            </w:pPr>
            <w:r>
              <w:rPr>
                <w:b/>
                <w:bCs/>
                <w:color w:val="262626"/>
              </w:rPr>
              <w:t>Proposal/Activity Title</w:t>
            </w:r>
          </w:p>
        </w:tc>
        <w:tc>
          <w:tcPr>
            <w:tcW w:w="7148" w:type="dxa"/>
            <w:gridSpan w:val="3"/>
            <w:shd w:val="clear" w:color="auto" w:fill="auto"/>
            <w:tcMar>
              <w:top w:w="0" w:type="dxa"/>
              <w:left w:w="108" w:type="dxa"/>
              <w:bottom w:w="0" w:type="dxa"/>
              <w:right w:w="108" w:type="dxa"/>
            </w:tcMar>
          </w:tcPr>
          <w:p w:rsidR="004D1392" w:rsidRPr="003830A8" w:rsidRDefault="0084689E" w:rsidP="0011279D">
            <w:pPr>
              <w:spacing w:after="0"/>
              <w:rPr>
                <w:rFonts w:ascii="Calibri" w:hAnsi="Calibri"/>
                <w:color w:val="262626"/>
                <w:sz w:val="20"/>
                <w:szCs w:val="20"/>
              </w:rPr>
            </w:pPr>
            <w:r>
              <w:rPr>
                <w:rFonts w:ascii="Calibri" w:hAnsi="Calibri"/>
                <w:color w:val="262626"/>
                <w:sz w:val="20"/>
                <w:szCs w:val="20"/>
              </w:rPr>
              <w:t xml:space="preserve">Advocacy, Organizing, and Events in Latin America in the </w:t>
            </w:r>
            <w:proofErr w:type="spellStart"/>
            <w:r>
              <w:rPr>
                <w:rFonts w:ascii="Calibri" w:hAnsi="Calibri"/>
                <w:color w:val="262626"/>
                <w:sz w:val="20"/>
                <w:szCs w:val="20"/>
              </w:rPr>
              <w:t>leadup</w:t>
            </w:r>
            <w:proofErr w:type="spellEnd"/>
            <w:r>
              <w:rPr>
                <w:rFonts w:ascii="Calibri" w:hAnsi="Calibri"/>
                <w:color w:val="262626"/>
                <w:sz w:val="20"/>
                <w:szCs w:val="20"/>
              </w:rPr>
              <w:t xml:space="preserve"> to UNGASS</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B17B64" w:rsidRPr="003830A8" w:rsidRDefault="0084689E" w:rsidP="0011279D">
            <w:pPr>
              <w:spacing w:after="0"/>
              <w:rPr>
                <w:rFonts w:ascii="Calibri" w:hAnsi="Calibri"/>
                <w:color w:val="262626"/>
                <w:sz w:val="20"/>
                <w:szCs w:val="20"/>
              </w:rPr>
            </w:pPr>
            <w:r>
              <w:rPr>
                <w:rFonts w:ascii="Calibri" w:hAnsi="Calibri"/>
                <w:color w:val="262626"/>
                <w:sz w:val="20"/>
                <w:szCs w:val="20"/>
              </w:rPr>
              <w:t>$200,000</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B17B64" w:rsidRPr="003830A8" w:rsidRDefault="009E7BA6" w:rsidP="0011279D">
            <w:pPr>
              <w:spacing w:after="0"/>
              <w:rPr>
                <w:rFonts w:ascii="Calibri" w:hAnsi="Calibri"/>
                <w:color w:val="262626"/>
                <w:sz w:val="20"/>
                <w:szCs w:val="20"/>
              </w:rPr>
            </w:pPr>
            <w:r>
              <w:rPr>
                <w:rFonts w:ascii="Calibri" w:hAnsi="Calibri"/>
                <w:color w:val="262626"/>
                <w:sz w:val="20"/>
                <w:szCs w:val="20"/>
              </w:rPr>
              <w:t>Please see prior request form</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B17B64" w:rsidRPr="009E7BA6" w:rsidRDefault="009E7BA6" w:rsidP="0011279D">
            <w:pPr>
              <w:spacing w:after="0"/>
              <w:rPr>
                <w:rFonts w:ascii="Calibri" w:hAnsi="Calibri"/>
                <w:color w:val="262626"/>
                <w:sz w:val="20"/>
                <w:szCs w:val="20"/>
              </w:rPr>
            </w:pPr>
            <w:r w:rsidRPr="009E7BA6">
              <w:rPr>
                <w:rFonts w:ascii="Calibri" w:hAnsi="Calibri"/>
                <w:color w:val="262626"/>
                <w:sz w:val="20"/>
                <w:szCs w:val="20"/>
              </w:rPr>
              <w:t>Please see prior request form</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84689E" w:rsidRDefault="0084689E" w:rsidP="0084689E">
            <w:pPr>
              <w:spacing w:before="120"/>
            </w:pPr>
            <w:r>
              <w:t>In 2016, LAP will continue to support grantees already working toward UNGASS and foment new activities and strategies in the region, using both programmatic funds ($290,000 of LAP’s budget has been allocated for UNGASS-related work in 2016) and complementary resources from the shared framework. Given the reduction in requested allocation, we propose to focus on the following lines of work, which will overlap and intersect:  ensuring inclusion of a racial justice lens in the drug policy debate, in particular by connecting Brazilian activists to their international counterparts ($50,000); ensuring strong implementation and leveraging of the Latin American Caravan for Drug Policy Reform through a supplementary grant ($60,000); continuing south-south knowledge exchanges between Latin American and African drug policy reform advocates and government ($90,000).</w:t>
            </w:r>
          </w:p>
          <w:p w:rsidR="00B17B64" w:rsidRPr="00BD34BF" w:rsidRDefault="00B17B64" w:rsidP="0011279D">
            <w:pPr>
              <w:spacing w:after="0"/>
              <w:rPr>
                <w:rFonts w:ascii="Calibri" w:hAnsi="Calibri"/>
                <w:color w:val="262626"/>
                <w:sz w:val="20"/>
                <w:szCs w:val="20"/>
              </w:rPr>
            </w:pP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1D52E6" w:rsidRDefault="0084689E" w:rsidP="001D52E6">
            <w:pPr>
              <w:spacing w:before="120"/>
            </w:pPr>
            <w:r w:rsidRPr="001D52E6">
              <w:rPr>
                <w:b/>
              </w:rPr>
              <w:t xml:space="preserve">January 2016 </w:t>
            </w:r>
            <w:r w:rsidRPr="001D52E6">
              <w:t xml:space="preserve">– </w:t>
            </w:r>
          </w:p>
          <w:p w:rsidR="00B17B64" w:rsidRPr="001D52E6" w:rsidRDefault="0084689E" w:rsidP="001D52E6">
            <w:pPr>
              <w:pStyle w:val="ListParagraph"/>
              <w:numPr>
                <w:ilvl w:val="0"/>
                <w:numId w:val="4"/>
              </w:numPr>
              <w:spacing w:before="120"/>
              <w:rPr>
                <w:i/>
              </w:rPr>
            </w:pPr>
            <w:r w:rsidRPr="001D52E6">
              <w:t>Process Global Exchange supplementary grant</w:t>
            </w:r>
            <w:r w:rsidR="001D52E6">
              <w:t xml:space="preserve"> for Latin American Caravan (proposal due 1/20).</w:t>
            </w:r>
            <w:r w:rsidRPr="001D52E6">
              <w:t xml:space="preserve"> </w:t>
            </w:r>
            <w:r w:rsidRPr="001D52E6">
              <w:rPr>
                <w:i/>
              </w:rPr>
              <w:t>*Eligibility has expired for this grantee. Quick processing assumes some kind of EA waiver or abbreviated EA arrangements can be made with president’s office</w:t>
            </w:r>
            <w:r w:rsidR="001D52E6">
              <w:rPr>
                <w:i/>
              </w:rPr>
              <w:t>, as requested</w:t>
            </w:r>
            <w:r w:rsidRPr="001D52E6">
              <w:rPr>
                <w:i/>
              </w:rPr>
              <w:t>.</w:t>
            </w:r>
          </w:p>
          <w:p w:rsidR="001D52E6" w:rsidRDefault="0084689E" w:rsidP="001D52E6">
            <w:pPr>
              <w:spacing w:before="120"/>
            </w:pPr>
            <w:r w:rsidRPr="001D52E6">
              <w:rPr>
                <w:b/>
              </w:rPr>
              <w:t>February – March 2016</w:t>
            </w:r>
            <w:r w:rsidRPr="001D52E6">
              <w:t xml:space="preserve"> – </w:t>
            </w:r>
          </w:p>
          <w:p w:rsidR="001D52E6" w:rsidRDefault="0084689E" w:rsidP="001D52E6">
            <w:pPr>
              <w:pStyle w:val="ListParagraph"/>
              <w:numPr>
                <w:ilvl w:val="0"/>
                <w:numId w:val="2"/>
              </w:numPr>
              <w:spacing w:before="120"/>
            </w:pPr>
            <w:r w:rsidRPr="001D52E6">
              <w:t xml:space="preserve">Begin discussions of renewing Black Initiative for a New Drug Policy grant in Brazil, maximizing pre-UNGASS impact and ensuring continuation of racial justice as part of Brazilian conversation. </w:t>
            </w:r>
          </w:p>
          <w:p w:rsidR="001D52E6" w:rsidRDefault="001D52E6" w:rsidP="001D52E6">
            <w:pPr>
              <w:pStyle w:val="ListParagraph"/>
              <w:numPr>
                <w:ilvl w:val="0"/>
                <w:numId w:val="2"/>
              </w:numPr>
              <w:spacing w:before="120"/>
            </w:pPr>
            <w:r>
              <w:t>Work with Brazilian Platform (2016 grant currently in programmatic review) to promote effective partnership with the Black Initiative for a New Drug Policy</w:t>
            </w:r>
            <w:r w:rsidR="0084689E" w:rsidRPr="001D52E6">
              <w:t xml:space="preserve"> </w:t>
            </w:r>
            <w:r>
              <w:t>in domestic advocacy</w:t>
            </w:r>
          </w:p>
          <w:p w:rsidR="0084689E" w:rsidRPr="001D52E6" w:rsidRDefault="001D52E6" w:rsidP="001D52E6">
            <w:pPr>
              <w:pStyle w:val="ListParagraph"/>
              <w:numPr>
                <w:ilvl w:val="0"/>
                <w:numId w:val="2"/>
              </w:numPr>
              <w:spacing w:before="120"/>
            </w:pPr>
            <w:r>
              <w:t xml:space="preserve">Work with </w:t>
            </w:r>
            <w:r w:rsidR="0084689E" w:rsidRPr="001D52E6">
              <w:t xml:space="preserve">Latin American grantees </w:t>
            </w:r>
            <w:r>
              <w:t xml:space="preserve">in Mexico, Colombia, and Brazil </w:t>
            </w:r>
            <w:r w:rsidR="0084689E" w:rsidRPr="001D52E6">
              <w:t>about solidifying connections between Latin American and Afri</w:t>
            </w:r>
            <w:r>
              <w:t>can officials at CND and UNGASS, in collaboration with GDPP (LAP is unlikely to host side events, given the cut in shared framework funding)</w:t>
            </w:r>
          </w:p>
          <w:p w:rsidR="001D52E6" w:rsidRPr="001D52E6" w:rsidRDefault="0084689E" w:rsidP="001D52E6">
            <w:pPr>
              <w:spacing w:before="120"/>
            </w:pPr>
            <w:r w:rsidRPr="001D52E6">
              <w:rPr>
                <w:b/>
              </w:rPr>
              <w:lastRenderedPageBreak/>
              <w:t>April 2016</w:t>
            </w:r>
            <w:r w:rsidR="001D52E6">
              <w:t xml:space="preserve"> </w:t>
            </w:r>
            <w:r w:rsidRPr="001D52E6">
              <w:t>-</w:t>
            </w:r>
            <w:r w:rsidR="001D52E6" w:rsidRPr="001D52E6">
              <w:t xml:space="preserve"> UNGASS</w:t>
            </w:r>
            <w:r w:rsidR="001D52E6">
              <w:t>. Working with grantees on urgent UNGASS prep.</w:t>
            </w:r>
          </w:p>
          <w:p w:rsidR="001D52E6" w:rsidRDefault="001D52E6" w:rsidP="001D52E6">
            <w:pPr>
              <w:spacing w:before="120"/>
            </w:pPr>
            <w:r w:rsidRPr="001D52E6">
              <w:rPr>
                <w:b/>
              </w:rPr>
              <w:t xml:space="preserve">April - </w:t>
            </w:r>
            <w:r w:rsidR="0084689E" w:rsidRPr="001D52E6">
              <w:rPr>
                <w:b/>
              </w:rPr>
              <w:t>October 2016</w:t>
            </w:r>
            <w:r w:rsidR="0084689E" w:rsidRPr="001D52E6">
              <w:t xml:space="preserve"> </w:t>
            </w:r>
            <w:r>
              <w:t>–</w:t>
            </w:r>
            <w:r w:rsidR="0084689E" w:rsidRPr="001D52E6">
              <w:t xml:space="preserve"> </w:t>
            </w:r>
          </w:p>
          <w:p w:rsidR="001D52E6" w:rsidRDefault="0084689E" w:rsidP="001D52E6">
            <w:pPr>
              <w:pStyle w:val="ListParagraph"/>
              <w:numPr>
                <w:ilvl w:val="0"/>
                <w:numId w:val="3"/>
              </w:numPr>
              <w:spacing w:before="120"/>
            </w:pPr>
            <w:r w:rsidRPr="001D52E6">
              <w:t xml:space="preserve">Explore racial justice lens connections with indigenous communities in Colombia and other racial justice movements internationally, like </w:t>
            </w:r>
            <w:proofErr w:type="spellStart"/>
            <w:r w:rsidRPr="001D52E6">
              <w:t>BlackLivesMatter</w:t>
            </w:r>
            <w:proofErr w:type="spellEnd"/>
            <w:r w:rsidRPr="001D52E6">
              <w:t xml:space="preserve">. </w:t>
            </w:r>
          </w:p>
          <w:p w:rsidR="0084689E" w:rsidRPr="001D52E6" w:rsidRDefault="0084689E" w:rsidP="001D52E6">
            <w:pPr>
              <w:pStyle w:val="ListParagraph"/>
              <w:numPr>
                <w:ilvl w:val="0"/>
                <w:numId w:val="3"/>
              </w:numPr>
              <w:spacing w:before="120"/>
            </w:pPr>
            <w:r w:rsidRPr="001D52E6">
              <w:t>Begin discussion with organizing committee of the Latin American Drug Policy conference and FOKAL in Haiti about south-south exchange continuation at the Latin American Drug Policy Conference in October.</w:t>
            </w:r>
          </w:p>
          <w:p w:rsidR="001D52E6" w:rsidRPr="001D52E6" w:rsidRDefault="001D52E6" w:rsidP="001D52E6">
            <w:pPr>
              <w:spacing w:before="120"/>
            </w:pPr>
          </w:p>
          <w:p w:rsidR="0084689E" w:rsidRPr="001D52E6" w:rsidRDefault="001D52E6" w:rsidP="001D52E6">
            <w:pPr>
              <w:spacing w:before="120"/>
            </w:pPr>
            <w:r w:rsidRPr="001D52E6">
              <w:t>We anticipate all shared framewor</w:t>
            </w:r>
            <w:r>
              <w:t xml:space="preserve">k funding will have been spent by early summer </w:t>
            </w:r>
            <w:r w:rsidRPr="001D52E6">
              <w:t>2016.</w:t>
            </w:r>
          </w:p>
          <w:p w:rsidR="00B17B64" w:rsidRPr="00BD34BF" w:rsidRDefault="00B17B64" w:rsidP="0011279D">
            <w:pPr>
              <w:spacing w:after="0"/>
              <w:rPr>
                <w:rFonts w:ascii="Calibri" w:hAnsi="Calibri"/>
                <w:color w:val="262626"/>
                <w:sz w:val="20"/>
                <w:szCs w:val="20"/>
              </w:rPr>
            </w:pP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lastRenderedPageBreak/>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1D52E6" w:rsidP="001D52E6">
            <w:pPr>
              <w:spacing w:after="0"/>
              <w:rPr>
                <w:rFonts w:ascii="Calibri" w:hAnsi="Calibri"/>
                <w:sz w:val="20"/>
                <w:szCs w:val="20"/>
              </w:rPr>
            </w:pPr>
            <w:r>
              <w:t>In the months leading up to UNGASS in 2016, LAP will continue to support grantees already working toward UNGASS and foment new activities and strategies in the region, using both programmatic funds and complementary resources from the shared framework. To further the UNGASS shared framework strategy, LAP will focus its use of SF funds on the following three lines of work, which will overlap and intersect:  ensuring inclusion of a racial justice lens in the Latin American drug policy debate, in particular by connecting Brazilian activists to their international counterparts in the region, Europe, and the United States; ensuring strong implementation of the Latin American Caravan for Drug Policy Reform, which has become a centerpiece of mobilization in the region; continuing to build south-south knowledge exchanges between Latin American and African drug policy reform advocates and government, which began with two exchanges in Bogota, Colombia, last year.</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Collaborating Program</w:t>
            </w:r>
            <w:r w:rsidR="004D1392">
              <w:rPr>
                <w:b/>
                <w:bCs/>
                <w:color w:val="262626"/>
              </w:rPr>
              <w:t>(</w:t>
            </w:r>
            <w:r w:rsidRPr="003830A8">
              <w:rPr>
                <w:b/>
                <w:bCs/>
                <w:color w:val="262626"/>
              </w:rPr>
              <w:t>s</w:t>
            </w:r>
            <w:r w:rsidR="004D1392">
              <w:rPr>
                <w:b/>
                <w:bCs/>
                <w:color w:val="262626"/>
              </w:rPr>
              <w:t>)</w:t>
            </w:r>
            <w:r w:rsidRPr="003830A8">
              <w:rPr>
                <w:b/>
                <w:bCs/>
                <w:color w:val="262626"/>
              </w:rPr>
              <w:t xml:space="preserve">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1D52E6" w:rsidRDefault="001D52E6" w:rsidP="0011279D">
            <w:pPr>
              <w:spacing w:after="0"/>
            </w:pPr>
            <w:r w:rsidRPr="001D52E6">
              <w:t>IHRD, GDPP</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Contributions expected from Collaborating Program</w:t>
            </w:r>
            <w:r w:rsidR="004D1392">
              <w:rPr>
                <w:b/>
                <w:bCs/>
                <w:color w:val="262626"/>
              </w:rPr>
              <w:t>(</w:t>
            </w:r>
            <w:r w:rsidRPr="003830A8">
              <w:rPr>
                <w:b/>
                <w:bCs/>
                <w:color w:val="262626"/>
              </w:rPr>
              <w:t>s</w:t>
            </w:r>
            <w:r w:rsidR="004D1392">
              <w:rPr>
                <w:b/>
                <w:bCs/>
                <w:color w:val="262626"/>
              </w:rPr>
              <w:t>)</w:t>
            </w:r>
            <w:r w:rsidRPr="003830A8">
              <w:rPr>
                <w:b/>
                <w:bCs/>
                <w:color w:val="262626"/>
              </w:rPr>
              <w:t xml:space="preserve">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1D52E6" w:rsidRDefault="001D52E6" w:rsidP="0011279D">
            <w:pPr>
              <w:spacing w:after="0"/>
            </w:pPr>
            <w:r w:rsidRPr="001D52E6">
              <w:t>$290,000 from LAP</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Statement of who within OSF would guide the work</w:t>
            </w:r>
            <w:r w:rsidR="004D1392">
              <w:rPr>
                <w:b/>
                <w:bCs/>
                <w:color w:val="262626"/>
              </w:rPr>
              <w:t xml:space="preserve"> (</w:t>
            </w:r>
            <w:r w:rsidR="004D1392" w:rsidRPr="004D1392">
              <w:rPr>
                <w:b/>
                <w:bCs/>
                <w:color w:val="262626"/>
                <w:u w:val="single"/>
              </w:rPr>
              <w:t>Point of Contact</w:t>
            </w:r>
            <w:r w:rsidR="004D1392">
              <w:rPr>
                <w:b/>
                <w:bCs/>
                <w:color w:val="262626"/>
              </w:rPr>
              <w:t>)</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1D52E6" w:rsidRDefault="001D52E6" w:rsidP="0011279D">
            <w:pPr>
              <w:spacing w:after="0"/>
            </w:pPr>
            <w:r w:rsidRPr="001D52E6">
              <w:t>Catesby Holmes and David Holiday will lead this work within the Latin America Program, in collaboration with our colleagues at IHRD and GDPP.</w:t>
            </w:r>
          </w:p>
        </w:tc>
        <w:bookmarkStart w:id="0" w:name="_GoBack"/>
        <w:bookmarkEnd w:id="0"/>
      </w:tr>
      <w:tr w:rsidR="00B17B64" w:rsidTr="0011279D">
        <w:trPr>
          <w:trHeight w:val="169"/>
        </w:trPr>
        <w:tc>
          <w:tcPr>
            <w:tcW w:w="2448" w:type="dxa"/>
            <w:tcBorders>
              <w:left w:val="nil"/>
              <w:right w:val="nil"/>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B17B64" w:rsidRPr="003830A8" w:rsidRDefault="00B17B64" w:rsidP="0011279D">
            <w:pPr>
              <w:spacing w:after="0"/>
              <w:rPr>
                <w:rFonts w:ascii="Calibri" w:hAnsi="Calibri"/>
                <w:sz w:val="20"/>
                <w:szCs w:val="20"/>
              </w:rPr>
            </w:pPr>
          </w:p>
        </w:tc>
      </w:tr>
      <w:tr w:rsidR="00B17B64" w:rsidRPr="00AD6D6B" w:rsidTr="00DB46B2">
        <w:trPr>
          <w:trHeight w:val="229"/>
        </w:trPr>
        <w:tc>
          <w:tcPr>
            <w:tcW w:w="2448" w:type="dxa"/>
            <w:vMerge w:val="restart"/>
            <w:shd w:val="clear" w:color="auto" w:fill="CCFFCC"/>
            <w:tcMar>
              <w:top w:w="0" w:type="dxa"/>
              <w:left w:w="108" w:type="dxa"/>
              <w:bottom w:w="0" w:type="dxa"/>
              <w:right w:w="108" w:type="dxa"/>
            </w:tcMar>
            <w:hideMark/>
          </w:tcPr>
          <w:p w:rsidR="00B17B64" w:rsidRPr="003830A8" w:rsidRDefault="00B17B64" w:rsidP="0011279D">
            <w:pPr>
              <w:spacing w:after="0"/>
              <w:rPr>
                <w:b/>
                <w:bCs/>
                <w:color w:val="262626"/>
              </w:rPr>
            </w:pPr>
            <w:r w:rsidRPr="003830A8">
              <w:rPr>
                <w:b/>
                <w:bCs/>
                <w:color w:val="262626"/>
              </w:rPr>
              <w:t>Approver (Lead)</w:t>
            </w:r>
          </w:p>
          <w:p w:rsidR="00B17B64" w:rsidRPr="003830A8" w:rsidRDefault="00B17B64" w:rsidP="0011279D">
            <w:pPr>
              <w:spacing w:after="0"/>
              <w:rPr>
                <w:bCs/>
                <w:i/>
                <w:color w:val="262626"/>
                <w:sz w:val="16"/>
                <w:szCs w:val="16"/>
              </w:rPr>
            </w:pPr>
            <w:r w:rsidRPr="003830A8">
              <w:rPr>
                <w:bCs/>
                <w:i/>
                <w:color w:val="262626"/>
                <w:sz w:val="16"/>
                <w:szCs w:val="16"/>
              </w:rPr>
              <w:t xml:space="preserve">(See list on </w:t>
            </w:r>
            <w:hyperlink r:id="rId9"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CCFFCC"/>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CCFFCC"/>
          </w:tcPr>
          <w:p w:rsidR="00B17B64" w:rsidRPr="005166D7" w:rsidRDefault="00A10454" w:rsidP="0011279D">
            <w:pPr>
              <w:spacing w:after="0"/>
              <w:rPr>
                <w:rFonts w:ascii="Calibri" w:hAnsi="Calibri"/>
                <w:color w:val="262626"/>
                <w:sz w:val="20"/>
                <w:szCs w:val="20"/>
              </w:rPr>
            </w:pPr>
            <w:r>
              <w:rPr>
                <w:rFonts w:ascii="Calibri" w:hAnsi="Calibri"/>
                <w:color w:val="262626"/>
                <w:sz w:val="20"/>
                <w:szCs w:val="20"/>
              </w:rPr>
              <w:t xml:space="preserve"> </w:t>
            </w:r>
            <w:r w:rsidRPr="005166D7">
              <w:rPr>
                <w:rFonts w:ascii="Calibri" w:hAnsi="Calibri"/>
                <w:color w:val="262626"/>
                <w:sz w:val="20"/>
                <w:szCs w:val="20"/>
              </w:rPr>
              <w:t>Leonard Noisette</w:t>
            </w:r>
          </w:p>
        </w:tc>
      </w:tr>
      <w:tr w:rsidR="00B17B64" w:rsidRPr="00AD6D6B" w:rsidTr="00DB46B2">
        <w:trPr>
          <w:trHeight w:val="273"/>
        </w:trPr>
        <w:tc>
          <w:tcPr>
            <w:tcW w:w="2448" w:type="dxa"/>
            <w:vMerge/>
            <w:shd w:val="clear" w:color="auto" w:fill="CCFFCC"/>
            <w:tcMar>
              <w:top w:w="0" w:type="dxa"/>
              <w:left w:w="108" w:type="dxa"/>
              <w:bottom w:w="0" w:type="dxa"/>
              <w:right w:w="108" w:type="dxa"/>
            </w:tcMar>
          </w:tcPr>
          <w:p w:rsidR="00B17B64" w:rsidRPr="003830A8" w:rsidRDefault="00B17B64" w:rsidP="0011279D">
            <w:pPr>
              <w:spacing w:after="0"/>
              <w:rPr>
                <w:b/>
                <w:bCs/>
                <w:color w:val="262626"/>
              </w:rPr>
            </w:pPr>
          </w:p>
        </w:tc>
        <w:tc>
          <w:tcPr>
            <w:tcW w:w="1525" w:type="dxa"/>
            <w:shd w:val="clear" w:color="auto" w:fill="CCFFCC"/>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CCFFCC"/>
          </w:tcPr>
          <w:p w:rsidR="00B17B64" w:rsidRPr="003830A8" w:rsidRDefault="00EB5900" w:rsidP="0011279D">
            <w:pPr>
              <w:spacing w:after="0"/>
              <w:rPr>
                <w:rFonts w:ascii="Calibri" w:hAnsi="Calibri"/>
                <w:color w:val="262626"/>
                <w:sz w:val="20"/>
                <w:szCs w:val="20"/>
              </w:rPr>
            </w:pPr>
            <w:r>
              <w:rPr>
                <w:rFonts w:ascii="Calibri" w:hAnsi="Calibri"/>
                <w:color w:val="262626"/>
                <w:sz w:val="20"/>
                <w:szCs w:val="20"/>
              </w:rPr>
              <w:t>1/20/2016</w:t>
            </w:r>
          </w:p>
        </w:tc>
      </w:tr>
      <w:tr w:rsidR="00B17B64" w:rsidRPr="00AD6D6B" w:rsidTr="0011279D">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B17B64" w:rsidRDefault="00B17B64" w:rsidP="0011279D">
            <w:pPr>
              <w:spacing w:after="0"/>
              <w:rPr>
                <w:b/>
                <w:bCs/>
                <w:color w:val="262626"/>
              </w:rPr>
            </w:pPr>
            <w:r>
              <w:rPr>
                <w:b/>
                <w:bCs/>
                <w:color w:val="262626"/>
              </w:rPr>
              <w:t>Approver (Lead) Notes / Comments (Optional)</w:t>
            </w:r>
          </w:p>
          <w:p w:rsidR="00B17B64" w:rsidRDefault="00B17B64" w:rsidP="0011279D">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B17B64" w:rsidRPr="00AD6D6B" w:rsidRDefault="00B17B64" w:rsidP="0011279D">
            <w:pPr>
              <w:spacing w:after="0"/>
              <w:rPr>
                <w:rFonts w:ascii="Calibri" w:hAnsi="Calibri"/>
                <w:color w:val="262626"/>
                <w:sz w:val="20"/>
                <w:szCs w:val="20"/>
              </w:rPr>
            </w:pPr>
          </w:p>
        </w:tc>
      </w:tr>
      <w:tr w:rsidR="00B17B64" w:rsidRPr="00AD6D6B" w:rsidTr="0011279D">
        <w:trPr>
          <w:trHeight w:val="511"/>
        </w:trPr>
        <w:tc>
          <w:tcPr>
            <w:tcW w:w="2448" w:type="dxa"/>
            <w:tcMar>
              <w:top w:w="0" w:type="dxa"/>
              <w:left w:w="108" w:type="dxa"/>
              <w:bottom w:w="0" w:type="dxa"/>
              <w:right w:w="108" w:type="dxa"/>
            </w:tcMar>
          </w:tcPr>
          <w:p w:rsidR="00B17B64" w:rsidRDefault="00B17B64" w:rsidP="0011279D">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B17B64" w:rsidRPr="00AD6D6B" w:rsidRDefault="00B01AF3" w:rsidP="0011279D">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B17B64">
                  <w:rPr>
                    <w:rFonts w:ascii="MS Gothic" w:eastAsia="MS Gothic" w:hAnsi="MS Gothic" w:hint="eastAsia"/>
                    <w:sz w:val="20"/>
                    <w:szCs w:val="20"/>
                  </w:rPr>
                  <w:t>☒</w:t>
                </w:r>
              </w:sdtContent>
            </w:sdt>
            <w:r w:rsidR="00B17B64">
              <w:rPr>
                <w:sz w:val="20"/>
                <w:szCs w:val="20"/>
              </w:rPr>
              <w:t xml:space="preserve"> </w:t>
            </w:r>
            <w:r w:rsidR="00B17B64" w:rsidRPr="00411B69">
              <w:rPr>
                <w:b/>
                <w:sz w:val="20"/>
                <w:szCs w:val="20"/>
                <w:u w:val="single"/>
              </w:rPr>
              <w:t>Not</w:t>
            </w:r>
            <w:r w:rsidR="00B17B64">
              <w:rPr>
                <w:sz w:val="20"/>
                <w:szCs w:val="20"/>
              </w:rPr>
              <w:t xml:space="preserve"> Rapid Response </w:t>
            </w:r>
          </w:p>
        </w:tc>
        <w:tc>
          <w:tcPr>
            <w:tcW w:w="3574" w:type="dxa"/>
            <w:vAlign w:val="cente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10" w:history="1">
              <w:r w:rsidRPr="00411B69">
                <w:rPr>
                  <w:rStyle w:val="Hyperlink"/>
                  <w:bCs/>
                  <w:i/>
                  <w:sz w:val="16"/>
                  <w:szCs w:val="16"/>
                </w:rPr>
                <w:t>KARL</w:t>
              </w:r>
            </w:hyperlink>
            <w:r>
              <w:rPr>
                <w:bCs/>
                <w:i/>
                <w:color w:val="262626"/>
                <w:sz w:val="16"/>
                <w:szCs w:val="16"/>
              </w:rPr>
              <w:t>)</w:t>
            </w:r>
          </w:p>
        </w:tc>
      </w:tr>
      <w:tr w:rsidR="00B17B64" w:rsidRPr="00AD6D6B" w:rsidTr="0011279D">
        <w:trPr>
          <w:trHeight w:val="287"/>
        </w:trPr>
        <w:tc>
          <w:tcPr>
            <w:tcW w:w="2448" w:type="dxa"/>
            <w:vMerge w:val="restart"/>
            <w:tcMar>
              <w:top w:w="0" w:type="dxa"/>
              <w:left w:w="108" w:type="dxa"/>
              <w:bottom w:w="0" w:type="dxa"/>
              <w:right w:w="108" w:type="dxa"/>
            </w:tcMar>
          </w:tcPr>
          <w:p w:rsidR="00B17B64" w:rsidRDefault="00B17B64" w:rsidP="0011279D">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B17B64" w:rsidRPr="006512F6" w:rsidRDefault="00B17B64" w:rsidP="0011279D">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Amount</w:t>
            </w:r>
            <w:r w:rsidR="001D52E6">
              <w:rPr>
                <w:sz w:val="20"/>
                <w:szCs w:val="20"/>
              </w:rPr>
              <w:t xml:space="preserve"> </w:t>
            </w:r>
          </w:p>
        </w:tc>
        <w:tc>
          <w:tcPr>
            <w:tcW w:w="3574" w:type="dxa"/>
          </w:tcPr>
          <w:p w:rsidR="00B17B64" w:rsidRPr="00AD6D6B" w:rsidRDefault="001D52E6" w:rsidP="0011279D">
            <w:pPr>
              <w:pStyle w:val="ColorfulList-Accent11"/>
              <w:spacing w:after="0" w:line="240" w:lineRule="auto"/>
              <w:ind w:left="0"/>
              <w:rPr>
                <w:sz w:val="20"/>
                <w:szCs w:val="20"/>
              </w:rPr>
            </w:pPr>
            <w:r>
              <w:rPr>
                <w:sz w:val="20"/>
                <w:szCs w:val="20"/>
              </w:rPr>
              <w:t>$200,000</w:t>
            </w:r>
          </w:p>
        </w:tc>
      </w:tr>
      <w:tr w:rsidR="00B17B64" w:rsidRPr="00AD6D6B"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Category of Work</w:t>
            </w:r>
            <w:r w:rsidR="001D52E6">
              <w:rPr>
                <w:sz w:val="20"/>
                <w:szCs w:val="20"/>
              </w:rPr>
              <w:t xml:space="preserve"> </w:t>
            </w:r>
          </w:p>
        </w:tc>
        <w:tc>
          <w:tcPr>
            <w:tcW w:w="3574" w:type="dxa"/>
          </w:tcPr>
          <w:p w:rsidR="00B17B64" w:rsidRPr="00A10454" w:rsidRDefault="00A10454" w:rsidP="0011279D">
            <w:pPr>
              <w:pStyle w:val="ColorfulList-Accent11"/>
              <w:spacing w:after="0" w:line="240" w:lineRule="auto"/>
              <w:ind w:left="0"/>
              <w:rPr>
                <w:b/>
                <w:sz w:val="20"/>
                <w:szCs w:val="20"/>
              </w:rPr>
            </w:pPr>
            <w:r w:rsidRPr="00A10454">
              <w:rPr>
                <w:b/>
                <w:sz w:val="20"/>
                <w:szCs w:val="20"/>
              </w:rPr>
              <w:t>SFS006</w:t>
            </w:r>
          </w:p>
        </w:tc>
      </w:tr>
      <w:tr w:rsidR="00B17B64" w:rsidRPr="00AD6D6B" w:rsidTr="0011279D">
        <w:trPr>
          <w:trHeight w:val="287"/>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Division/Program Code</w:t>
            </w:r>
          </w:p>
        </w:tc>
        <w:tc>
          <w:tcPr>
            <w:tcW w:w="3574" w:type="dxa"/>
          </w:tcPr>
          <w:p w:rsidR="00B17B64" w:rsidRPr="008A4AC1" w:rsidRDefault="008A4AC1" w:rsidP="008A4AC1">
            <w:pPr>
              <w:pStyle w:val="ColorfulList-Accent11"/>
              <w:spacing w:after="0" w:line="240" w:lineRule="auto"/>
              <w:ind w:left="0"/>
              <w:rPr>
                <w:b/>
                <w:sz w:val="20"/>
                <w:szCs w:val="20"/>
              </w:rPr>
            </w:pPr>
            <w:r w:rsidRPr="008A4AC1">
              <w:rPr>
                <w:b/>
                <w:sz w:val="20"/>
                <w:szCs w:val="20"/>
              </w:rPr>
              <w:t>45061</w:t>
            </w:r>
          </w:p>
        </w:tc>
      </w:tr>
      <w:tr w:rsidR="00B17B64" w:rsidRPr="0084689E"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BD34BF" w:rsidRDefault="00B17B64" w:rsidP="0011279D">
            <w:pPr>
              <w:pStyle w:val="ColorfulList-Accent11"/>
              <w:spacing w:after="0" w:line="240" w:lineRule="auto"/>
              <w:ind w:left="0"/>
              <w:rPr>
                <w:sz w:val="20"/>
                <w:szCs w:val="20"/>
                <w:lang w:val="pt-BR"/>
              </w:rPr>
            </w:pPr>
            <w:r w:rsidRPr="00BD34BF">
              <w:rPr>
                <w:sz w:val="20"/>
                <w:szCs w:val="20"/>
                <w:lang w:val="pt-BR"/>
              </w:rPr>
              <w:t xml:space="preserve">Entity </w:t>
            </w:r>
            <w:r w:rsidRPr="00BD34BF">
              <w:rPr>
                <w:i/>
                <w:sz w:val="20"/>
                <w:szCs w:val="20"/>
                <w:lang w:val="pt-BR"/>
              </w:rPr>
              <w:t>(i.e., FPOS, ZUG)</w:t>
            </w:r>
          </w:p>
        </w:tc>
        <w:tc>
          <w:tcPr>
            <w:tcW w:w="3574" w:type="dxa"/>
          </w:tcPr>
          <w:p w:rsidR="00B17B64" w:rsidRPr="00BD34BF" w:rsidRDefault="009E7BA6" w:rsidP="0011279D">
            <w:pPr>
              <w:pStyle w:val="ColorfulList-Accent11"/>
              <w:spacing w:after="0" w:line="240" w:lineRule="auto"/>
              <w:ind w:left="0"/>
              <w:rPr>
                <w:sz w:val="20"/>
                <w:szCs w:val="20"/>
                <w:lang w:val="pt-BR"/>
              </w:rPr>
            </w:pPr>
            <w:r>
              <w:rPr>
                <w:sz w:val="20"/>
                <w:szCs w:val="20"/>
                <w:lang w:val="pt-BR"/>
              </w:rPr>
              <w:t>FPOS</w:t>
            </w:r>
          </w:p>
        </w:tc>
      </w:tr>
      <w:tr w:rsidR="00B17B64" w:rsidRPr="00AD6D6B" w:rsidTr="0011279D">
        <w:trPr>
          <w:trHeight w:val="287"/>
        </w:trPr>
        <w:tc>
          <w:tcPr>
            <w:tcW w:w="2448" w:type="dxa"/>
            <w:vMerge/>
            <w:tcMar>
              <w:top w:w="0" w:type="dxa"/>
              <w:left w:w="108" w:type="dxa"/>
              <w:bottom w:w="0" w:type="dxa"/>
              <w:right w:w="108" w:type="dxa"/>
            </w:tcMar>
          </w:tcPr>
          <w:p w:rsidR="00B17B64" w:rsidRPr="00BD34BF" w:rsidRDefault="00B17B64" w:rsidP="0011279D">
            <w:pPr>
              <w:spacing w:after="0"/>
              <w:rPr>
                <w:b/>
                <w:bCs/>
                <w:color w:val="262626"/>
                <w:lang w:val="pt-BR"/>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B17B64" w:rsidRPr="00AD6D6B" w:rsidRDefault="009E7BA6" w:rsidP="0011279D">
            <w:pPr>
              <w:pStyle w:val="ColorfulList-Accent11"/>
              <w:spacing w:after="0" w:line="240" w:lineRule="auto"/>
              <w:ind w:left="0"/>
              <w:rPr>
                <w:sz w:val="20"/>
                <w:szCs w:val="20"/>
              </w:rPr>
            </w:pPr>
            <w:r>
              <w:rPr>
                <w:sz w:val="20"/>
                <w:szCs w:val="20"/>
              </w:rPr>
              <w:t>Non-lobbying</w:t>
            </w:r>
          </w:p>
        </w:tc>
      </w:tr>
      <w:tr w:rsidR="00B17B64" w:rsidRPr="00AD6D6B"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B17B64" w:rsidRPr="00AD6D6B" w:rsidRDefault="009E7BA6" w:rsidP="0011279D">
            <w:pPr>
              <w:pStyle w:val="ColorfulList-Accent11"/>
              <w:spacing w:after="0" w:line="240" w:lineRule="auto"/>
              <w:ind w:left="0"/>
              <w:rPr>
                <w:sz w:val="20"/>
                <w:szCs w:val="20"/>
              </w:rPr>
            </w:pPr>
            <w:r>
              <w:rPr>
                <w:sz w:val="20"/>
                <w:szCs w:val="20"/>
              </w:rPr>
              <w:t>Latin America regional</w:t>
            </w:r>
          </w:p>
        </w:tc>
      </w:tr>
    </w:tbl>
    <w:p w:rsidR="00414548" w:rsidRDefault="00414548" w:rsidP="004D1392">
      <w:pPr>
        <w:spacing w:after="0"/>
        <w:jc w:val="center"/>
      </w:pPr>
    </w:p>
    <w:sectPr w:rsidR="0041454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AF3" w:rsidRDefault="00B01AF3" w:rsidP="00141897">
      <w:pPr>
        <w:spacing w:after="0" w:line="240" w:lineRule="auto"/>
      </w:pPr>
      <w:r>
        <w:separator/>
      </w:r>
    </w:p>
  </w:endnote>
  <w:endnote w:type="continuationSeparator" w:id="0">
    <w:p w:rsidR="00B01AF3" w:rsidRDefault="00B01AF3" w:rsidP="0014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C1" w:rsidRDefault="00AE57C1" w:rsidP="00AE57C1">
    <w:pPr>
      <w:pStyle w:val="Footer"/>
      <w:jc w:val="right"/>
    </w:pPr>
    <w:r>
      <w:t>19-May-15</w:t>
    </w:r>
  </w:p>
  <w:p w:rsidR="00AE57C1" w:rsidRDefault="00AE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AF3" w:rsidRDefault="00B01AF3" w:rsidP="00141897">
      <w:pPr>
        <w:spacing w:after="0" w:line="240" w:lineRule="auto"/>
      </w:pPr>
      <w:r>
        <w:separator/>
      </w:r>
    </w:p>
  </w:footnote>
  <w:footnote w:type="continuationSeparator" w:id="0">
    <w:p w:rsidR="00B01AF3" w:rsidRDefault="00B01AF3" w:rsidP="00141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92" w:rsidRPr="004D1392" w:rsidRDefault="004D1392" w:rsidP="004D1392">
    <w:pPr>
      <w:pStyle w:val="Header"/>
      <w:jc w:val="center"/>
      <w:rPr>
        <w:b/>
      </w:rPr>
    </w:pPr>
    <w:r w:rsidRPr="004D1392">
      <w:rPr>
        <w:b/>
      </w:rPr>
      <w:t>Budget Allocation Template: Drug Policy Shared Framework</w:t>
    </w:r>
  </w:p>
  <w:p w:rsidR="004D1392" w:rsidRDefault="004D1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pt;height:23.25pt;visibility:visible;mso-wrap-style:square" o:bullet="t">
        <v:imagedata r:id="rId1" o:title=""/>
      </v:shape>
    </w:pict>
  </w:numPicBullet>
  <w:abstractNum w:abstractNumId="0">
    <w:nsid w:val="2F562A38"/>
    <w:multiLevelType w:val="hybridMultilevel"/>
    <w:tmpl w:val="DCF6732C"/>
    <w:lvl w:ilvl="0" w:tplc="CA8E5FC6">
      <w:start w:val="1"/>
      <w:numFmt w:val="bullet"/>
      <w:lvlText w:val=""/>
      <w:lvlPicBulletId w:val="0"/>
      <w:lvlJc w:val="left"/>
      <w:pPr>
        <w:tabs>
          <w:tab w:val="num" w:pos="720"/>
        </w:tabs>
        <w:ind w:left="720" w:hanging="360"/>
      </w:pPr>
      <w:rPr>
        <w:rFonts w:ascii="Symbol" w:hAnsi="Symbol" w:hint="default"/>
      </w:rPr>
    </w:lvl>
    <w:lvl w:ilvl="1" w:tplc="A0100612" w:tentative="1">
      <w:start w:val="1"/>
      <w:numFmt w:val="bullet"/>
      <w:lvlText w:val=""/>
      <w:lvlJc w:val="left"/>
      <w:pPr>
        <w:tabs>
          <w:tab w:val="num" w:pos="1440"/>
        </w:tabs>
        <w:ind w:left="1440" w:hanging="360"/>
      </w:pPr>
      <w:rPr>
        <w:rFonts w:ascii="Symbol" w:hAnsi="Symbol" w:hint="default"/>
      </w:rPr>
    </w:lvl>
    <w:lvl w:ilvl="2" w:tplc="55DA1BEC" w:tentative="1">
      <w:start w:val="1"/>
      <w:numFmt w:val="bullet"/>
      <w:lvlText w:val=""/>
      <w:lvlJc w:val="left"/>
      <w:pPr>
        <w:tabs>
          <w:tab w:val="num" w:pos="2160"/>
        </w:tabs>
        <w:ind w:left="2160" w:hanging="360"/>
      </w:pPr>
      <w:rPr>
        <w:rFonts w:ascii="Symbol" w:hAnsi="Symbol" w:hint="default"/>
      </w:rPr>
    </w:lvl>
    <w:lvl w:ilvl="3" w:tplc="A1A023E6" w:tentative="1">
      <w:start w:val="1"/>
      <w:numFmt w:val="bullet"/>
      <w:lvlText w:val=""/>
      <w:lvlJc w:val="left"/>
      <w:pPr>
        <w:tabs>
          <w:tab w:val="num" w:pos="2880"/>
        </w:tabs>
        <w:ind w:left="2880" w:hanging="360"/>
      </w:pPr>
      <w:rPr>
        <w:rFonts w:ascii="Symbol" w:hAnsi="Symbol" w:hint="default"/>
      </w:rPr>
    </w:lvl>
    <w:lvl w:ilvl="4" w:tplc="9DB82ECC" w:tentative="1">
      <w:start w:val="1"/>
      <w:numFmt w:val="bullet"/>
      <w:lvlText w:val=""/>
      <w:lvlJc w:val="left"/>
      <w:pPr>
        <w:tabs>
          <w:tab w:val="num" w:pos="3600"/>
        </w:tabs>
        <w:ind w:left="3600" w:hanging="360"/>
      </w:pPr>
      <w:rPr>
        <w:rFonts w:ascii="Symbol" w:hAnsi="Symbol" w:hint="default"/>
      </w:rPr>
    </w:lvl>
    <w:lvl w:ilvl="5" w:tplc="8FCC1C18" w:tentative="1">
      <w:start w:val="1"/>
      <w:numFmt w:val="bullet"/>
      <w:lvlText w:val=""/>
      <w:lvlJc w:val="left"/>
      <w:pPr>
        <w:tabs>
          <w:tab w:val="num" w:pos="4320"/>
        </w:tabs>
        <w:ind w:left="4320" w:hanging="360"/>
      </w:pPr>
      <w:rPr>
        <w:rFonts w:ascii="Symbol" w:hAnsi="Symbol" w:hint="default"/>
      </w:rPr>
    </w:lvl>
    <w:lvl w:ilvl="6" w:tplc="1522FF04" w:tentative="1">
      <w:start w:val="1"/>
      <w:numFmt w:val="bullet"/>
      <w:lvlText w:val=""/>
      <w:lvlJc w:val="left"/>
      <w:pPr>
        <w:tabs>
          <w:tab w:val="num" w:pos="5040"/>
        </w:tabs>
        <w:ind w:left="5040" w:hanging="360"/>
      </w:pPr>
      <w:rPr>
        <w:rFonts w:ascii="Symbol" w:hAnsi="Symbol" w:hint="default"/>
      </w:rPr>
    </w:lvl>
    <w:lvl w:ilvl="7" w:tplc="0ADE69C2" w:tentative="1">
      <w:start w:val="1"/>
      <w:numFmt w:val="bullet"/>
      <w:lvlText w:val=""/>
      <w:lvlJc w:val="left"/>
      <w:pPr>
        <w:tabs>
          <w:tab w:val="num" w:pos="5760"/>
        </w:tabs>
        <w:ind w:left="5760" w:hanging="360"/>
      </w:pPr>
      <w:rPr>
        <w:rFonts w:ascii="Symbol" w:hAnsi="Symbol" w:hint="default"/>
      </w:rPr>
    </w:lvl>
    <w:lvl w:ilvl="8" w:tplc="93FE15EC" w:tentative="1">
      <w:start w:val="1"/>
      <w:numFmt w:val="bullet"/>
      <w:lvlText w:val=""/>
      <w:lvlJc w:val="left"/>
      <w:pPr>
        <w:tabs>
          <w:tab w:val="num" w:pos="6480"/>
        </w:tabs>
        <w:ind w:left="6480" w:hanging="360"/>
      </w:pPr>
      <w:rPr>
        <w:rFonts w:ascii="Symbol" w:hAnsi="Symbol" w:hint="default"/>
      </w:rPr>
    </w:lvl>
  </w:abstractNum>
  <w:abstractNum w:abstractNumId="1">
    <w:nsid w:val="3FB129F8"/>
    <w:multiLevelType w:val="hybridMultilevel"/>
    <w:tmpl w:val="8190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671AB"/>
    <w:multiLevelType w:val="hybridMultilevel"/>
    <w:tmpl w:val="03A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E5475"/>
    <w:multiLevelType w:val="hybridMultilevel"/>
    <w:tmpl w:val="BDEC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97"/>
    <w:rsid w:val="00066B0E"/>
    <w:rsid w:val="000F0DF1"/>
    <w:rsid w:val="0011279D"/>
    <w:rsid w:val="001239DA"/>
    <w:rsid w:val="001353E8"/>
    <w:rsid w:val="00141897"/>
    <w:rsid w:val="00155788"/>
    <w:rsid w:val="0018359B"/>
    <w:rsid w:val="001C66D5"/>
    <w:rsid w:val="001D52E6"/>
    <w:rsid w:val="001D7712"/>
    <w:rsid w:val="002B49DE"/>
    <w:rsid w:val="002F2446"/>
    <w:rsid w:val="0032222D"/>
    <w:rsid w:val="00362EDE"/>
    <w:rsid w:val="00396518"/>
    <w:rsid w:val="003D0110"/>
    <w:rsid w:val="003E66CE"/>
    <w:rsid w:val="00414548"/>
    <w:rsid w:val="004D1392"/>
    <w:rsid w:val="005166D7"/>
    <w:rsid w:val="00535AE5"/>
    <w:rsid w:val="00774639"/>
    <w:rsid w:val="00840559"/>
    <w:rsid w:val="0084689E"/>
    <w:rsid w:val="008A4AC1"/>
    <w:rsid w:val="008D59C1"/>
    <w:rsid w:val="00925C14"/>
    <w:rsid w:val="009E7BA6"/>
    <w:rsid w:val="00A043FD"/>
    <w:rsid w:val="00A10454"/>
    <w:rsid w:val="00A5627A"/>
    <w:rsid w:val="00A568C7"/>
    <w:rsid w:val="00AE57C1"/>
    <w:rsid w:val="00B01AF3"/>
    <w:rsid w:val="00B17B64"/>
    <w:rsid w:val="00BD34BF"/>
    <w:rsid w:val="00BF07B2"/>
    <w:rsid w:val="00DB46B2"/>
    <w:rsid w:val="00EB5900"/>
    <w:rsid w:val="00F03250"/>
    <w:rsid w:val="00F15FB9"/>
    <w:rsid w:val="00F534ED"/>
    <w:rsid w:val="00F8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D68C-9F6B-4BD6-9E0B-648246C1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Huber</dc:creator>
  <cp:lastModifiedBy>Claudine Wilson - Temp</cp:lastModifiedBy>
  <cp:revision>2</cp:revision>
  <cp:lastPrinted>2015-04-17T20:03:00Z</cp:lastPrinted>
  <dcterms:created xsi:type="dcterms:W3CDTF">2016-02-04T17:54:00Z</dcterms:created>
  <dcterms:modified xsi:type="dcterms:W3CDTF">2016-02-04T17:54:00Z</dcterms:modified>
</cp:coreProperties>
</file>