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070"/>
        <w:gridCol w:w="2231"/>
        <w:gridCol w:w="1774"/>
        <w:gridCol w:w="3915"/>
      </w:tblGrid>
      <w:tr w:rsidR="0042545F" w:rsidRPr="00C56F7D" w:rsidTr="009F5FDF">
        <w:trPr>
          <w:trHeight w:val="350"/>
        </w:trPr>
        <w:tc>
          <w:tcPr>
            <w:tcW w:w="2070" w:type="dxa"/>
            <w:tcMar>
              <w:top w:w="0" w:type="dxa"/>
              <w:left w:w="108" w:type="dxa"/>
              <w:bottom w:w="0" w:type="dxa"/>
              <w:right w:w="108" w:type="dxa"/>
            </w:tcMar>
            <w:hideMark/>
          </w:tcPr>
          <w:p w:rsidR="0042545F" w:rsidRPr="00C56F7D" w:rsidRDefault="0042545F" w:rsidP="00104953">
            <w:pPr>
              <w:spacing w:after="0"/>
              <w:rPr>
                <w:rFonts w:ascii="Calibri" w:hAnsi="Calibri"/>
                <w:b/>
                <w:bCs/>
                <w:color w:val="262626"/>
              </w:rPr>
            </w:pPr>
            <w:bookmarkStart w:id="0" w:name="_GoBack"/>
            <w:bookmarkEnd w:id="0"/>
            <w:r w:rsidRPr="00C56F7D">
              <w:rPr>
                <w:b/>
                <w:bCs/>
                <w:color w:val="262626"/>
              </w:rPr>
              <w:t>Proposal Title</w:t>
            </w:r>
          </w:p>
        </w:tc>
        <w:tc>
          <w:tcPr>
            <w:tcW w:w="7920" w:type="dxa"/>
            <w:gridSpan w:val="3"/>
            <w:tcMar>
              <w:top w:w="0" w:type="dxa"/>
              <w:left w:w="108" w:type="dxa"/>
              <w:bottom w:w="0" w:type="dxa"/>
              <w:right w:w="108" w:type="dxa"/>
            </w:tcMar>
          </w:tcPr>
          <w:p w:rsidR="0042545F" w:rsidRPr="00C56F7D" w:rsidRDefault="009F5FDF" w:rsidP="00104953">
            <w:pPr>
              <w:spacing w:after="0"/>
              <w:rPr>
                <w:rFonts w:ascii="Calibri" w:hAnsi="Calibri"/>
                <w:color w:val="262626"/>
                <w:sz w:val="20"/>
                <w:szCs w:val="20"/>
              </w:rPr>
            </w:pPr>
            <w:r w:rsidRPr="00E37C92">
              <w:t>Urgent Response in Defense of Women’s Health</w:t>
            </w:r>
            <w:r>
              <w:t xml:space="preserve"> – Planned Parenthood Action Fund</w:t>
            </w:r>
          </w:p>
        </w:tc>
      </w:tr>
      <w:tr w:rsidR="0042545F" w:rsidRPr="00C56F7D" w:rsidTr="009F5FDF">
        <w:trPr>
          <w:trHeight w:val="20"/>
        </w:trPr>
        <w:tc>
          <w:tcPr>
            <w:tcW w:w="2070" w:type="dxa"/>
            <w:tcMar>
              <w:top w:w="0" w:type="dxa"/>
              <w:left w:w="108" w:type="dxa"/>
              <w:bottom w:w="0" w:type="dxa"/>
              <w:right w:w="108" w:type="dxa"/>
            </w:tcMar>
            <w:hideMark/>
          </w:tcPr>
          <w:p w:rsidR="0042545F" w:rsidRPr="00C56F7D" w:rsidRDefault="0042545F" w:rsidP="00104953">
            <w:pPr>
              <w:spacing w:after="0"/>
              <w:rPr>
                <w:rFonts w:ascii="Calibri" w:hAnsi="Calibri"/>
                <w:b/>
                <w:bCs/>
                <w:color w:val="262626"/>
              </w:rPr>
            </w:pPr>
            <w:r w:rsidRPr="00C56F7D">
              <w:rPr>
                <w:b/>
                <w:bCs/>
                <w:color w:val="262626"/>
              </w:rPr>
              <w:t>Reserve Fund</w:t>
            </w:r>
          </w:p>
        </w:tc>
        <w:tc>
          <w:tcPr>
            <w:tcW w:w="7920" w:type="dxa"/>
            <w:gridSpan w:val="3"/>
            <w:tcMar>
              <w:top w:w="0" w:type="dxa"/>
              <w:left w:w="108" w:type="dxa"/>
              <w:bottom w:w="0" w:type="dxa"/>
              <w:right w:w="108" w:type="dxa"/>
            </w:tcMar>
          </w:tcPr>
          <w:p w:rsidR="0042545F" w:rsidRPr="00C56F7D" w:rsidRDefault="005005DB" w:rsidP="00104953">
            <w:pPr>
              <w:spacing w:after="0"/>
              <w:rPr>
                <w:rFonts w:ascii="Calibri" w:hAnsi="Calibri"/>
                <w:color w:val="262626"/>
                <w:sz w:val="20"/>
                <w:szCs w:val="20"/>
              </w:rPr>
            </w:pPr>
            <w:r w:rsidRPr="00C56F7D">
              <w:rPr>
                <w:rFonts w:ascii="Calibri" w:hAnsi="Calibri"/>
                <w:color w:val="262626"/>
                <w:sz w:val="20"/>
                <w:szCs w:val="20"/>
              </w:rPr>
              <w:t>U.S. General Reserves (21105</w:t>
            </w:r>
            <w:r w:rsidR="00B76E0F" w:rsidRPr="00C56F7D">
              <w:rPr>
                <w:rFonts w:ascii="Calibri" w:hAnsi="Calibri"/>
                <w:color w:val="262626"/>
                <w:sz w:val="20"/>
                <w:szCs w:val="20"/>
              </w:rPr>
              <w:t>)</w:t>
            </w:r>
          </w:p>
        </w:tc>
      </w:tr>
      <w:tr w:rsidR="00EA7C56" w:rsidRPr="00C56F7D" w:rsidTr="009F5FDF">
        <w:trPr>
          <w:trHeight w:val="20"/>
        </w:trPr>
        <w:tc>
          <w:tcPr>
            <w:tcW w:w="2070" w:type="dxa"/>
            <w:tcMar>
              <w:top w:w="0" w:type="dxa"/>
              <w:left w:w="108" w:type="dxa"/>
              <w:bottom w:w="0" w:type="dxa"/>
              <w:right w:w="108" w:type="dxa"/>
            </w:tcMar>
          </w:tcPr>
          <w:p w:rsidR="00EA7C56" w:rsidRPr="00C56F7D" w:rsidRDefault="00EA7C56" w:rsidP="00104953">
            <w:pPr>
              <w:spacing w:after="0"/>
              <w:rPr>
                <w:b/>
                <w:bCs/>
                <w:color w:val="262626"/>
              </w:rPr>
            </w:pPr>
            <w:r w:rsidRPr="00C56F7D">
              <w:rPr>
                <w:b/>
                <w:bCs/>
                <w:color w:val="262626"/>
              </w:rPr>
              <w:t>Amount Requested</w:t>
            </w:r>
          </w:p>
        </w:tc>
        <w:tc>
          <w:tcPr>
            <w:tcW w:w="7920" w:type="dxa"/>
            <w:gridSpan w:val="3"/>
            <w:tcMar>
              <w:top w:w="0" w:type="dxa"/>
              <w:left w:w="108" w:type="dxa"/>
              <w:bottom w:w="0" w:type="dxa"/>
              <w:right w:w="108" w:type="dxa"/>
            </w:tcMar>
          </w:tcPr>
          <w:p w:rsidR="00EA7C56" w:rsidRPr="00C56F7D" w:rsidRDefault="00B76E0F" w:rsidP="009F5FDF">
            <w:pPr>
              <w:spacing w:after="0"/>
              <w:rPr>
                <w:rFonts w:ascii="Calibri" w:hAnsi="Calibri"/>
                <w:color w:val="262626"/>
                <w:sz w:val="20"/>
                <w:szCs w:val="20"/>
              </w:rPr>
            </w:pPr>
            <w:r w:rsidRPr="00C56F7D">
              <w:rPr>
                <w:rFonts w:ascii="Calibri" w:hAnsi="Calibri"/>
                <w:color w:val="262626"/>
                <w:sz w:val="20"/>
                <w:szCs w:val="20"/>
              </w:rPr>
              <w:t>$</w:t>
            </w:r>
            <w:r w:rsidR="009F5FDF">
              <w:rPr>
                <w:rFonts w:ascii="Calibri" w:hAnsi="Calibri"/>
                <w:color w:val="262626"/>
                <w:sz w:val="20"/>
                <w:szCs w:val="20"/>
              </w:rPr>
              <w:t>1,500,000</w:t>
            </w:r>
          </w:p>
        </w:tc>
      </w:tr>
      <w:tr w:rsidR="00DA5D66" w:rsidRPr="00C56F7D" w:rsidTr="009F141A">
        <w:trPr>
          <w:trHeight w:val="1744"/>
        </w:trPr>
        <w:tc>
          <w:tcPr>
            <w:tcW w:w="2070" w:type="dxa"/>
            <w:tcMar>
              <w:top w:w="0" w:type="dxa"/>
              <w:left w:w="108" w:type="dxa"/>
              <w:bottom w:w="0" w:type="dxa"/>
              <w:right w:w="108" w:type="dxa"/>
            </w:tcMar>
          </w:tcPr>
          <w:p w:rsidR="00DA5D66" w:rsidRPr="00C56F7D" w:rsidRDefault="00DA5D66" w:rsidP="00104953">
            <w:pPr>
              <w:spacing w:after="0"/>
              <w:rPr>
                <w:b/>
                <w:bCs/>
                <w:color w:val="262626"/>
              </w:rPr>
            </w:pPr>
            <w:r w:rsidRPr="00C56F7D">
              <w:rPr>
                <w:b/>
                <w:bCs/>
                <w:color w:val="262626"/>
              </w:rPr>
              <w:t>Detail on Amount Requested (Optional)</w:t>
            </w:r>
          </w:p>
        </w:tc>
        <w:tc>
          <w:tcPr>
            <w:tcW w:w="7920" w:type="dxa"/>
            <w:gridSpan w:val="3"/>
            <w:tcMar>
              <w:top w:w="0" w:type="dxa"/>
              <w:left w:w="108" w:type="dxa"/>
              <w:bottom w:w="0" w:type="dxa"/>
              <w:right w:w="108" w:type="dxa"/>
            </w:tcMar>
          </w:tcPr>
          <w:p w:rsidR="00DA5D66" w:rsidRPr="00C56F7D" w:rsidRDefault="00DA5D66" w:rsidP="00104953">
            <w:pPr>
              <w:spacing w:after="0"/>
              <w:rPr>
                <w:rFonts w:ascii="Calibri" w:hAnsi="Calibri"/>
                <w:color w:val="262626"/>
                <w:sz w:val="20"/>
                <w:szCs w:val="20"/>
              </w:rPr>
            </w:pPr>
          </w:p>
        </w:tc>
      </w:tr>
      <w:tr w:rsidR="000F10A2" w:rsidRPr="00C56F7D" w:rsidTr="009F5FDF">
        <w:trPr>
          <w:trHeight w:val="20"/>
        </w:trPr>
        <w:tc>
          <w:tcPr>
            <w:tcW w:w="2070" w:type="dxa"/>
            <w:tcMar>
              <w:top w:w="0" w:type="dxa"/>
              <w:left w:w="108" w:type="dxa"/>
              <w:bottom w:w="0" w:type="dxa"/>
              <w:right w:w="108" w:type="dxa"/>
            </w:tcMar>
          </w:tcPr>
          <w:p w:rsidR="000F10A2" w:rsidRPr="00C56F7D" w:rsidRDefault="000F10A2" w:rsidP="00104953">
            <w:pPr>
              <w:spacing w:after="0"/>
              <w:rPr>
                <w:b/>
                <w:bCs/>
                <w:color w:val="262626"/>
              </w:rPr>
            </w:pPr>
            <w:r w:rsidRPr="00C56F7D">
              <w:rPr>
                <w:b/>
                <w:bCs/>
                <w:color w:val="262626"/>
              </w:rPr>
              <w:t>Background</w:t>
            </w:r>
            <w:r w:rsidR="00277B43" w:rsidRPr="00C56F7D">
              <w:rPr>
                <w:b/>
                <w:bCs/>
                <w:color w:val="262626"/>
              </w:rPr>
              <w:t xml:space="preserve"> (Optional)</w:t>
            </w:r>
          </w:p>
        </w:tc>
        <w:tc>
          <w:tcPr>
            <w:tcW w:w="7920" w:type="dxa"/>
            <w:gridSpan w:val="3"/>
            <w:tcMar>
              <w:top w:w="0" w:type="dxa"/>
              <w:left w:w="108" w:type="dxa"/>
              <w:bottom w:w="0" w:type="dxa"/>
              <w:right w:w="108" w:type="dxa"/>
            </w:tcMar>
          </w:tcPr>
          <w:p w:rsidR="009F5FDF" w:rsidRDefault="003030E4" w:rsidP="009F5FDF">
            <w:pPr>
              <w:spacing w:after="0"/>
            </w:pPr>
            <w:r>
              <w:t xml:space="preserve">Over the last three weeks, </w:t>
            </w:r>
            <w:r w:rsidR="009F5FDF" w:rsidRPr="00E37C92">
              <w:t xml:space="preserve">Planned Parenthood has come under attack from anti-abortion extremists who have spent years laying the groundwork for a </w:t>
            </w:r>
            <w:r w:rsidR="00CB344B">
              <w:t xml:space="preserve">sophisticated </w:t>
            </w:r>
            <w:r w:rsidR="009F5FDF" w:rsidRPr="00E37C92">
              <w:t xml:space="preserve">smear campaign aimed </w:t>
            </w:r>
            <w:r w:rsidR="004A3264">
              <w:t xml:space="preserve">at </w:t>
            </w:r>
            <w:r>
              <w:t>discrediting the organization</w:t>
            </w:r>
            <w:r w:rsidR="00CB344B">
              <w:t xml:space="preserve"> and cutting off</w:t>
            </w:r>
            <w:r>
              <w:t xml:space="preserve"> the public funding it currently receives for providing health care services.</w:t>
            </w:r>
            <w:r w:rsidR="009F5FDF" w:rsidRPr="00E37C92">
              <w:t xml:space="preserve">  While </w:t>
            </w:r>
            <w:r w:rsidR="00E26FDC">
              <w:t>Planned P</w:t>
            </w:r>
            <w:r>
              <w:t xml:space="preserve">arenthood has been attacked before, </w:t>
            </w:r>
            <w:r w:rsidR="009F5FDF" w:rsidRPr="00E37C92">
              <w:t>this latest attempt is unprec</w:t>
            </w:r>
            <w:r w:rsidR="00501EDF">
              <w:t>edented in its scale and scope. O</w:t>
            </w:r>
            <w:r>
              <w:t>pponents</w:t>
            </w:r>
            <w:r w:rsidR="00501EDF">
              <w:t xml:space="preserve"> created a fake company,</w:t>
            </w:r>
            <w:r w:rsidR="009F5FDF" w:rsidRPr="00E37C92">
              <w:t xml:space="preserve"> filed false tax documents</w:t>
            </w:r>
            <w:r w:rsidR="00501EDF">
              <w:t>,</w:t>
            </w:r>
            <w:r w:rsidR="009F5FDF" w:rsidRPr="00E37C92">
              <w:t xml:space="preserve"> and used fraudulent government IDs to gain the trust of Planned Parenthood doctors and clinicians and try to entrap them, using secretly obtained and deceptively edited videos.  One of the founders of this fake company is the head of Operation Rescue, the extremist organization whose members have been linked to clinic bombings and the murder of Dr. George Tiller.</w:t>
            </w:r>
          </w:p>
          <w:p w:rsidR="003036EA" w:rsidRDefault="003036EA" w:rsidP="009F5FDF">
            <w:pPr>
              <w:spacing w:after="0"/>
            </w:pPr>
          </w:p>
          <w:p w:rsidR="00CB344B" w:rsidRDefault="003036EA" w:rsidP="009F5FDF">
            <w:pPr>
              <w:spacing w:after="0"/>
            </w:pPr>
            <w:r>
              <w:t>Abortion opponents in Congress and in statehouses are using the deceptive videos to make the case for defunding Planned Parenthood</w:t>
            </w:r>
            <w:r w:rsidR="009A503B">
              <w:t>, and more videos may yet be released</w:t>
            </w:r>
            <w:r>
              <w:t>. The U.S. Senate voted on a defunding proposal on Monday, but failed by five votes to stop a filibuster. Many Republicans in both chambers, however, have vowed to strike Planned Parenthood funding from the annual spending bills that will be negotiated in the fall</w:t>
            </w:r>
            <w:r w:rsidR="00CB344B">
              <w:t>, even threatening to shut down the government to get their way</w:t>
            </w:r>
            <w:r>
              <w:t xml:space="preserve">. At the same time, governors and state legislatures around the country are signaling similar battles </w:t>
            </w:r>
            <w:r w:rsidR="00CB344B">
              <w:t>to come over state funding</w:t>
            </w:r>
            <w:r>
              <w:t>.</w:t>
            </w:r>
          </w:p>
          <w:p w:rsidR="00CB344B" w:rsidRDefault="00CB344B" w:rsidP="009F5FDF">
            <w:pPr>
              <w:spacing w:after="0"/>
            </w:pPr>
          </w:p>
          <w:p w:rsidR="003036EA" w:rsidRDefault="00CB344B" w:rsidP="009F5FDF">
            <w:pPr>
              <w:spacing w:after="0"/>
            </w:pPr>
            <w:r>
              <w:t xml:space="preserve">Planned Parenthood receives over $500 million in federal funding, through Medicaid and other public health programs, to provide health care services, primarily to low-income women. An end to that funding would be devastating to the organization and the people it serves. </w:t>
            </w:r>
            <w:r w:rsidR="003036EA">
              <w:t xml:space="preserve"> </w:t>
            </w:r>
          </w:p>
          <w:p w:rsidR="004110BD" w:rsidRPr="00E37C92" w:rsidRDefault="004110BD" w:rsidP="009F5FDF">
            <w:pPr>
              <w:spacing w:after="0"/>
            </w:pPr>
          </w:p>
          <w:p w:rsidR="000F10A2" w:rsidRPr="00C56F7D" w:rsidRDefault="00CB344B" w:rsidP="006F444C">
            <w:r w:rsidRPr="00E37C92">
              <w:t>Sixty percent of the 2.7 million women, men, and young people who depend on Planned Parenthood for care participate in</w:t>
            </w:r>
            <w:r>
              <w:t xml:space="preserve"> </w:t>
            </w:r>
            <w:r w:rsidRPr="00E37C92">
              <w:t xml:space="preserve">federal programs.  Defunding would mean that 1.6 million of </w:t>
            </w:r>
            <w:r>
              <w:t>their</w:t>
            </w:r>
            <w:r w:rsidRPr="00E37C92">
              <w:t xml:space="preserve"> patients would be cut off from basic preventive services like contraception, cancer screenings, and STI testing and treatment.  Moreover, Planned Parenthood is often the only way the uninsured and the most vulnerable ca</w:t>
            </w:r>
            <w:r>
              <w:t>n access these services.  Six in ten women who visit these</w:t>
            </w:r>
            <w:r w:rsidRPr="00E37C92">
              <w:t xml:space="preserve"> health centers consider Planned Parenthood their main source of health care.  Defunding would also force the closure of many clinics.  With more than half of </w:t>
            </w:r>
            <w:r>
              <w:t>their</w:t>
            </w:r>
            <w:r w:rsidRPr="00E37C92">
              <w:t xml:space="preserve"> health centers located in medically underserved areas, this would be devastating.  For example, if Planned Parenthood </w:t>
            </w:r>
            <w:r w:rsidRPr="00E37C92">
              <w:lastRenderedPageBreak/>
              <w:t xml:space="preserve">could no longer serve patients on Medicaid, </w:t>
            </w:r>
            <w:r>
              <w:t>their</w:t>
            </w:r>
            <w:r w:rsidRPr="00E37C92">
              <w:t xml:space="preserve"> 20 health centers in Ohio would be reduced to just three.</w:t>
            </w:r>
          </w:p>
        </w:tc>
      </w:tr>
      <w:tr w:rsidR="000F10A2" w:rsidRPr="00C56F7D" w:rsidTr="009F5FDF">
        <w:trPr>
          <w:trHeight w:val="20"/>
        </w:trPr>
        <w:tc>
          <w:tcPr>
            <w:tcW w:w="2070" w:type="dxa"/>
            <w:tcMar>
              <w:top w:w="0" w:type="dxa"/>
              <w:left w:w="108" w:type="dxa"/>
              <w:bottom w:w="0" w:type="dxa"/>
              <w:right w:w="108" w:type="dxa"/>
            </w:tcMar>
          </w:tcPr>
          <w:p w:rsidR="000F10A2" w:rsidRPr="00C56F7D" w:rsidRDefault="000F10A2" w:rsidP="00104953">
            <w:pPr>
              <w:spacing w:after="0"/>
              <w:rPr>
                <w:b/>
                <w:bCs/>
                <w:color w:val="262626"/>
              </w:rPr>
            </w:pPr>
            <w:r w:rsidRPr="00C56F7D">
              <w:rPr>
                <w:b/>
                <w:bCs/>
                <w:color w:val="262626"/>
              </w:rPr>
              <w:lastRenderedPageBreak/>
              <w:t>Risks</w:t>
            </w:r>
            <w:r w:rsidR="00277B43" w:rsidRPr="00C56F7D">
              <w:rPr>
                <w:b/>
                <w:bCs/>
                <w:color w:val="262626"/>
              </w:rPr>
              <w:t xml:space="preserve"> (Optional)</w:t>
            </w:r>
          </w:p>
        </w:tc>
        <w:tc>
          <w:tcPr>
            <w:tcW w:w="7920" w:type="dxa"/>
            <w:gridSpan w:val="3"/>
            <w:tcMar>
              <w:top w:w="0" w:type="dxa"/>
              <w:left w:w="108" w:type="dxa"/>
              <w:bottom w:w="0" w:type="dxa"/>
              <w:right w:w="108" w:type="dxa"/>
            </w:tcMar>
          </w:tcPr>
          <w:p w:rsidR="009F141A" w:rsidRPr="00C56F7D" w:rsidRDefault="009F141A" w:rsidP="009F141A">
            <w:pPr>
              <w:spacing w:after="0"/>
              <w:rPr>
                <w:rFonts w:ascii="Calibri" w:hAnsi="Calibri"/>
                <w:color w:val="262626"/>
                <w:sz w:val="20"/>
                <w:szCs w:val="20"/>
              </w:rPr>
            </w:pPr>
          </w:p>
        </w:tc>
      </w:tr>
      <w:tr w:rsidR="000F10A2" w:rsidRPr="00C56F7D" w:rsidTr="009F5FDF">
        <w:trPr>
          <w:trHeight w:val="20"/>
        </w:trPr>
        <w:tc>
          <w:tcPr>
            <w:tcW w:w="2070" w:type="dxa"/>
            <w:tcMar>
              <w:top w:w="0" w:type="dxa"/>
              <w:left w:w="108" w:type="dxa"/>
              <w:bottom w:w="0" w:type="dxa"/>
              <w:right w:w="108" w:type="dxa"/>
            </w:tcMar>
          </w:tcPr>
          <w:p w:rsidR="000F10A2" w:rsidRPr="00C56F7D" w:rsidRDefault="000F10A2" w:rsidP="00104953">
            <w:pPr>
              <w:spacing w:after="0"/>
              <w:rPr>
                <w:b/>
                <w:bCs/>
                <w:color w:val="262626"/>
              </w:rPr>
            </w:pPr>
            <w:r w:rsidRPr="00C56F7D">
              <w:rPr>
                <w:b/>
                <w:bCs/>
                <w:color w:val="262626"/>
              </w:rPr>
              <w:t>Unforeseen Need (250 words)</w:t>
            </w:r>
          </w:p>
        </w:tc>
        <w:tc>
          <w:tcPr>
            <w:tcW w:w="7920" w:type="dxa"/>
            <w:gridSpan w:val="3"/>
            <w:tcMar>
              <w:top w:w="0" w:type="dxa"/>
              <w:left w:w="108" w:type="dxa"/>
              <w:bottom w:w="0" w:type="dxa"/>
              <w:right w:w="108" w:type="dxa"/>
            </w:tcMar>
          </w:tcPr>
          <w:p w:rsidR="009F141A" w:rsidRDefault="004110BD" w:rsidP="009F5FDF">
            <w:pPr>
              <w:spacing w:after="0"/>
            </w:pPr>
            <w:r>
              <w:t>While Planned Parenthood has had to defend against a variety of attacks by abortion opponents in recent years, the release of these videos and</w:t>
            </w:r>
            <w:r w:rsidR="00D44775">
              <w:t xml:space="preserve"> the related attacks were severe</w:t>
            </w:r>
            <w:r>
              <w:t xml:space="preserve"> and without warning. </w:t>
            </w:r>
            <w:r w:rsidR="009F141A">
              <w:t xml:space="preserve">Countering this offensive </w:t>
            </w:r>
            <w:r w:rsidR="00D44775">
              <w:t>requires</w:t>
            </w:r>
            <w:r w:rsidR="009F141A" w:rsidRPr="00E37C92">
              <w:t xml:space="preserve"> an enormous amount of resources and staff time, which is the intent of </w:t>
            </w:r>
            <w:r w:rsidR="009F141A">
              <w:t>the</w:t>
            </w:r>
            <w:r w:rsidR="009F141A" w:rsidRPr="00E37C92">
              <w:t xml:space="preserve"> opposition.  Planned Parenthood is waging </w:t>
            </w:r>
            <w:r w:rsidR="00D44775">
              <w:t>its</w:t>
            </w:r>
            <w:r w:rsidR="009F141A" w:rsidRPr="00E37C92">
              <w:t xml:space="preserve"> defense at the federal and state levels through </w:t>
            </w:r>
            <w:r w:rsidR="00D44775">
              <w:t>its</w:t>
            </w:r>
            <w:r w:rsidR="009F141A">
              <w:t xml:space="preserve"> </w:t>
            </w:r>
            <w:r w:rsidR="009F141A" w:rsidRPr="00E37C92">
              <w:t>Fight Back Campaign</w:t>
            </w:r>
            <w:r w:rsidR="00D44775">
              <w:t xml:space="preserve">, which it </w:t>
            </w:r>
            <w:proofErr w:type="gramStart"/>
            <w:r w:rsidR="00D44775">
              <w:t>projects</w:t>
            </w:r>
            <w:proofErr w:type="gramEnd"/>
            <w:r w:rsidR="00D44775">
              <w:t xml:space="preserve"> will cost $7 to 8 million</w:t>
            </w:r>
            <w:r w:rsidR="009F141A" w:rsidRPr="00E37C92">
              <w:t xml:space="preserve">. </w:t>
            </w:r>
            <w:r w:rsidR="00D44775">
              <w:t>The elements of the campaign include:</w:t>
            </w:r>
          </w:p>
          <w:p w:rsidR="006D412C" w:rsidRDefault="006D412C" w:rsidP="009F5FDF">
            <w:pPr>
              <w:spacing w:after="0"/>
            </w:pPr>
          </w:p>
          <w:p w:rsidR="00D44775" w:rsidRDefault="00D44775" w:rsidP="00D44775">
            <w:pPr>
              <w:spacing w:after="0"/>
            </w:pPr>
            <w:r>
              <w:t xml:space="preserve">Security – PP is providing heightened security to key staff and doctors, especially those who were targeted in the videos.  Additionally, PP has retained a consulting firm specializing in cyber security to help fend off cyberattacks on its website and web properties and to strengthen its systems.  </w:t>
            </w:r>
          </w:p>
          <w:p w:rsidR="00D44775" w:rsidRDefault="00D44775" w:rsidP="00D44775">
            <w:pPr>
              <w:spacing w:after="0"/>
            </w:pPr>
          </w:p>
          <w:p w:rsidR="00D44775" w:rsidRDefault="00501EDF" w:rsidP="00D44775">
            <w:pPr>
              <w:spacing w:after="0"/>
            </w:pPr>
            <w:r>
              <w:t xml:space="preserve">Communications </w:t>
            </w:r>
            <w:r w:rsidR="00D44775">
              <w:t xml:space="preserve">– Working with top crisis communications consultants, PP is conducting national and state media outreach to both expose the true agenda of its opponents and transform the narrative surrounding these attacks, including forensic analysis of doctored tapes.  Additionally, PP is recruiting and training patients to tell their stories about the care they received at Planned Parenthood, and are running targeted television ads to educate constituents in key districts about these attacks and ask them to stand with PP. </w:t>
            </w:r>
          </w:p>
          <w:p w:rsidR="00D44775" w:rsidRDefault="00D44775" w:rsidP="00D44775">
            <w:pPr>
              <w:spacing w:after="0"/>
            </w:pPr>
          </w:p>
          <w:p w:rsidR="00D44775" w:rsidRDefault="00D44775" w:rsidP="00D44775">
            <w:pPr>
              <w:spacing w:after="0"/>
            </w:pPr>
            <w:r>
              <w:t>Organizing and Congressional support – PP is rallying its supporters and activists across the country to speak out online and on the ground, to demonstrate the overwhelming public support for Planned Parenthood and the work it does.  This includes digital ad buys and a major social media presence.  PP is also mobilizing its 8 million supporters to contact members of the House and Senate over the coming weeks, through patch through calls and volunteer phone banks.</w:t>
            </w:r>
          </w:p>
          <w:p w:rsidR="00D44775" w:rsidRDefault="00D44775" w:rsidP="00D44775">
            <w:pPr>
              <w:spacing w:after="0"/>
            </w:pPr>
          </w:p>
          <w:p w:rsidR="00D44775" w:rsidRDefault="00D44775" w:rsidP="00D44775">
            <w:pPr>
              <w:spacing w:after="0"/>
            </w:pPr>
            <w:r>
              <w:t xml:space="preserve">Legal – PP has retained the law firm of O’Melveny &amp; Myers to help prepare for and defend against a major congressional investigation, as well as countless other investigations at the state level, particularly in Texas.  </w:t>
            </w:r>
          </w:p>
          <w:p w:rsidR="000F10A2" w:rsidRPr="009F5FDF" w:rsidRDefault="000F10A2" w:rsidP="009F5FDF">
            <w:pPr>
              <w:spacing w:after="0"/>
            </w:pPr>
          </w:p>
        </w:tc>
      </w:tr>
      <w:tr w:rsidR="000F10A2" w:rsidRPr="00C56F7D" w:rsidTr="009F5FDF">
        <w:trPr>
          <w:trHeight w:val="20"/>
        </w:trPr>
        <w:tc>
          <w:tcPr>
            <w:tcW w:w="2070" w:type="dxa"/>
            <w:tcMar>
              <w:top w:w="0" w:type="dxa"/>
              <w:left w:w="108" w:type="dxa"/>
              <w:bottom w:w="0" w:type="dxa"/>
              <w:right w:w="108" w:type="dxa"/>
            </w:tcMar>
          </w:tcPr>
          <w:p w:rsidR="000F10A2" w:rsidRPr="00C56F7D" w:rsidRDefault="000F10A2" w:rsidP="00104953">
            <w:pPr>
              <w:spacing w:after="0"/>
              <w:rPr>
                <w:b/>
                <w:bCs/>
                <w:color w:val="262626"/>
              </w:rPr>
            </w:pPr>
            <w:r w:rsidRPr="00C56F7D">
              <w:rPr>
                <w:b/>
                <w:bCs/>
                <w:color w:val="262626"/>
              </w:rPr>
              <w:t>Activities Proposed (500 words)</w:t>
            </w:r>
          </w:p>
        </w:tc>
        <w:tc>
          <w:tcPr>
            <w:tcW w:w="7920" w:type="dxa"/>
            <w:gridSpan w:val="3"/>
            <w:tcMar>
              <w:top w:w="0" w:type="dxa"/>
              <w:left w:w="108" w:type="dxa"/>
              <w:bottom w:w="0" w:type="dxa"/>
              <w:right w:w="108" w:type="dxa"/>
            </w:tcMar>
          </w:tcPr>
          <w:p w:rsidR="009F141A" w:rsidRPr="00E37C92" w:rsidRDefault="00D44775" w:rsidP="009F141A">
            <w:pPr>
              <w:spacing w:after="0"/>
            </w:pPr>
            <w:r>
              <w:t xml:space="preserve">In the several weeks since the attack began, leading up to the Senate vote, Planned Parenthood used up nearly all of its lobbying resources, so its greatest need </w:t>
            </w:r>
            <w:r w:rsidR="006D412C">
              <w:t>for the campaign outlined above</w:t>
            </w:r>
            <w:r>
              <w:t xml:space="preserve"> is </w:t>
            </w:r>
            <w:r w:rsidR="003D3B04">
              <w:t xml:space="preserve">an immediate infusion of </w:t>
            </w:r>
            <w:r>
              <w:t xml:space="preserve">c4 funding. </w:t>
            </w:r>
            <w:r w:rsidR="003D3B04">
              <w:t xml:space="preserve"> Cecile Richards, President of Planned Parenthood, has recently secured a commitment for $2 million in c3 funds, with strong prospects for more on the c3 side. Funding for lobbying activities, however, is much harder to come by, so OSPC is uniquely situated to provide a critical resources PP will have a hard time finding anywhere else.  We are awaiting a detailed description of the c4 activities they want to employ, but they will </w:t>
            </w:r>
            <w:r w:rsidR="003D3B04">
              <w:lastRenderedPageBreak/>
              <w:t>focus on persuading legislators at the state and federal level to vote against defunding measures. We expect the activities to include: organizing and mobilizing patients, medical professionals and other allies; patch-through calling; paid and earned media; and phone banks.</w:t>
            </w:r>
          </w:p>
          <w:p w:rsidR="000F10A2" w:rsidRPr="00C56F7D" w:rsidRDefault="000F10A2" w:rsidP="009F141A">
            <w:pPr>
              <w:pStyle w:val="ListParagraph"/>
              <w:spacing w:line="256" w:lineRule="auto"/>
              <w:ind w:left="0"/>
              <w:contextualSpacing/>
              <w:rPr>
                <w:color w:val="262626"/>
                <w:sz w:val="20"/>
                <w:szCs w:val="20"/>
              </w:rPr>
            </w:pPr>
          </w:p>
        </w:tc>
      </w:tr>
      <w:tr w:rsidR="000F10A2" w:rsidRPr="00C56F7D" w:rsidTr="009F5FDF">
        <w:trPr>
          <w:trHeight w:val="20"/>
        </w:trPr>
        <w:tc>
          <w:tcPr>
            <w:tcW w:w="2070" w:type="dxa"/>
            <w:tcBorders>
              <w:bottom w:val="single" w:sz="8" w:space="0" w:color="auto"/>
            </w:tcBorders>
            <w:tcMar>
              <w:top w:w="0" w:type="dxa"/>
              <w:left w:w="108" w:type="dxa"/>
              <w:bottom w:w="0" w:type="dxa"/>
              <w:right w:w="108" w:type="dxa"/>
            </w:tcMar>
          </w:tcPr>
          <w:p w:rsidR="000F10A2" w:rsidRPr="00C56F7D" w:rsidRDefault="00277B43" w:rsidP="00104953">
            <w:pPr>
              <w:spacing w:after="0"/>
              <w:rPr>
                <w:b/>
                <w:bCs/>
                <w:color w:val="262626"/>
              </w:rPr>
            </w:pPr>
            <w:r w:rsidRPr="00C56F7D">
              <w:rPr>
                <w:b/>
                <w:bCs/>
                <w:color w:val="262626"/>
              </w:rPr>
              <w:lastRenderedPageBreak/>
              <w:t>Summary for Board Reports (100 words)</w:t>
            </w:r>
          </w:p>
        </w:tc>
        <w:tc>
          <w:tcPr>
            <w:tcW w:w="7920" w:type="dxa"/>
            <w:gridSpan w:val="3"/>
            <w:tcBorders>
              <w:bottom w:val="single" w:sz="8" w:space="0" w:color="auto"/>
            </w:tcBorders>
            <w:tcMar>
              <w:top w:w="0" w:type="dxa"/>
              <w:left w:w="108" w:type="dxa"/>
              <w:bottom w:w="0" w:type="dxa"/>
              <w:right w:w="108" w:type="dxa"/>
            </w:tcMar>
          </w:tcPr>
          <w:p w:rsidR="005428D5" w:rsidRPr="005428D5" w:rsidRDefault="005428D5" w:rsidP="005428D5">
            <w:pPr>
              <w:pStyle w:val="ListParagraph"/>
              <w:ind w:left="0"/>
            </w:pPr>
            <w:r w:rsidRPr="005428D5">
              <w:t>This $1.5 million grant provided an infusion of 501(c</w:t>
            </w:r>
            <w:proofErr w:type="gramStart"/>
            <w:r w:rsidRPr="005428D5">
              <w:t>)(</w:t>
            </w:r>
            <w:proofErr w:type="gramEnd"/>
            <w:r w:rsidRPr="005428D5">
              <w:t xml:space="preserve">4) funding to Planned Parenthood Action Fund (PPAF)   as they were waging a critical defense against attacks to the reputation and credibility of Planned Parenthood and potential loss of federal funding. This emergency funding enabled PPAF to implement its multipronged Fight Back Campaign to mobilize grassroots and </w:t>
            </w:r>
            <w:proofErr w:type="spellStart"/>
            <w:r w:rsidRPr="005428D5">
              <w:t>grasstops</w:t>
            </w:r>
            <w:proofErr w:type="spellEnd"/>
            <w:r w:rsidRPr="005428D5">
              <w:t xml:space="preserve"> supporters and lobby Congress to counter attempts to defund Planned Parenthood at the federal and state levels, and to continue providing critical reproductive health care services across the country. </w:t>
            </w:r>
          </w:p>
          <w:p w:rsidR="000F10A2" w:rsidRPr="00C56F7D" w:rsidRDefault="000F10A2" w:rsidP="00104953">
            <w:pPr>
              <w:spacing w:after="0"/>
              <w:rPr>
                <w:rFonts w:ascii="Calibri" w:hAnsi="Calibri"/>
                <w:sz w:val="20"/>
                <w:szCs w:val="20"/>
              </w:rPr>
            </w:pPr>
          </w:p>
        </w:tc>
      </w:tr>
      <w:tr w:rsidR="00701452" w:rsidRPr="00C56F7D" w:rsidTr="009F5FDF">
        <w:trPr>
          <w:trHeight w:val="20"/>
        </w:trPr>
        <w:tc>
          <w:tcPr>
            <w:tcW w:w="2070" w:type="dxa"/>
            <w:tcBorders>
              <w:bottom w:val="single" w:sz="8" w:space="0" w:color="auto"/>
            </w:tcBorders>
            <w:tcMar>
              <w:top w:w="0" w:type="dxa"/>
              <w:left w:w="108" w:type="dxa"/>
              <w:bottom w:w="0" w:type="dxa"/>
              <w:right w:w="108" w:type="dxa"/>
            </w:tcMar>
          </w:tcPr>
          <w:p w:rsidR="00701452" w:rsidRPr="00C56F7D" w:rsidRDefault="00701452" w:rsidP="00104953">
            <w:pPr>
              <w:spacing w:after="0"/>
              <w:rPr>
                <w:b/>
                <w:bCs/>
                <w:color w:val="262626"/>
              </w:rPr>
            </w:pPr>
            <w:r w:rsidRPr="00C56F7D">
              <w:rPr>
                <w:b/>
                <w:bCs/>
                <w:color w:val="262626"/>
              </w:rPr>
              <w:t>Collaborating Programs within OSF and essential partners or grantees</w:t>
            </w:r>
          </w:p>
        </w:tc>
        <w:tc>
          <w:tcPr>
            <w:tcW w:w="7920" w:type="dxa"/>
            <w:gridSpan w:val="3"/>
            <w:tcBorders>
              <w:bottom w:val="single" w:sz="8" w:space="0" w:color="auto"/>
            </w:tcBorders>
            <w:tcMar>
              <w:top w:w="0" w:type="dxa"/>
              <w:left w:w="108" w:type="dxa"/>
              <w:bottom w:w="0" w:type="dxa"/>
              <w:right w:w="108" w:type="dxa"/>
            </w:tcMar>
          </w:tcPr>
          <w:p w:rsidR="00B16376" w:rsidRPr="00C56F7D" w:rsidRDefault="00B16376" w:rsidP="00104953">
            <w:pPr>
              <w:spacing w:after="0"/>
              <w:rPr>
                <w:rFonts w:ascii="Calibri" w:hAnsi="Calibri"/>
                <w:sz w:val="20"/>
                <w:szCs w:val="20"/>
                <w:u w:val="single"/>
              </w:rPr>
            </w:pPr>
            <w:r w:rsidRPr="00C56F7D">
              <w:rPr>
                <w:rFonts w:ascii="Calibri" w:hAnsi="Calibri"/>
                <w:sz w:val="20"/>
                <w:szCs w:val="20"/>
                <w:u w:val="single"/>
              </w:rPr>
              <w:t>OSF</w:t>
            </w:r>
          </w:p>
          <w:p w:rsidR="00C56F7D" w:rsidRDefault="009F5FDF" w:rsidP="00104953">
            <w:pPr>
              <w:spacing w:after="0"/>
              <w:rPr>
                <w:rFonts w:ascii="Calibri" w:hAnsi="Calibri"/>
                <w:sz w:val="20"/>
                <w:szCs w:val="20"/>
              </w:rPr>
            </w:pPr>
            <w:r>
              <w:rPr>
                <w:rFonts w:ascii="Calibri" w:hAnsi="Calibri"/>
                <w:sz w:val="20"/>
                <w:szCs w:val="20"/>
              </w:rPr>
              <w:t xml:space="preserve">Open Society Policy Center </w:t>
            </w:r>
          </w:p>
          <w:p w:rsidR="009F5FDF" w:rsidRPr="00C56F7D" w:rsidRDefault="009F5FDF" w:rsidP="00104953">
            <w:pPr>
              <w:spacing w:after="0"/>
              <w:rPr>
                <w:rFonts w:ascii="Calibri" w:hAnsi="Calibri"/>
                <w:sz w:val="20"/>
                <w:szCs w:val="20"/>
              </w:rPr>
            </w:pPr>
            <w:r>
              <w:rPr>
                <w:rFonts w:ascii="Calibri" w:hAnsi="Calibri"/>
                <w:sz w:val="20"/>
                <w:szCs w:val="20"/>
              </w:rPr>
              <w:t>Women’s Rights Program</w:t>
            </w:r>
          </w:p>
          <w:p w:rsidR="009F5FDF" w:rsidRPr="00406F3A" w:rsidRDefault="00406F3A" w:rsidP="00104953">
            <w:pPr>
              <w:spacing w:after="0"/>
              <w:rPr>
                <w:rFonts w:ascii="Calibri" w:hAnsi="Calibri"/>
                <w:sz w:val="20"/>
                <w:szCs w:val="20"/>
              </w:rPr>
            </w:pPr>
            <w:r>
              <w:rPr>
                <w:rFonts w:ascii="Calibri" w:hAnsi="Calibri"/>
                <w:sz w:val="20"/>
                <w:szCs w:val="20"/>
              </w:rPr>
              <w:t>U.S. Programs</w:t>
            </w:r>
          </w:p>
          <w:p w:rsidR="00B16376" w:rsidRPr="00C56F7D" w:rsidRDefault="00B16376" w:rsidP="00104953">
            <w:pPr>
              <w:spacing w:after="0"/>
              <w:rPr>
                <w:rFonts w:ascii="Calibri" w:hAnsi="Calibri"/>
                <w:sz w:val="20"/>
                <w:szCs w:val="20"/>
                <w:u w:val="single"/>
              </w:rPr>
            </w:pPr>
            <w:r w:rsidRPr="00C56F7D">
              <w:rPr>
                <w:rFonts w:ascii="Calibri" w:hAnsi="Calibri"/>
                <w:sz w:val="20"/>
                <w:szCs w:val="20"/>
                <w:u w:val="single"/>
              </w:rPr>
              <w:t>External</w:t>
            </w:r>
          </w:p>
          <w:p w:rsidR="00B16376" w:rsidRDefault="009F5FDF" w:rsidP="009F5FDF">
            <w:pPr>
              <w:spacing w:after="0"/>
              <w:rPr>
                <w:rFonts w:ascii="Calibri" w:hAnsi="Calibri"/>
                <w:sz w:val="20"/>
                <w:szCs w:val="20"/>
              </w:rPr>
            </w:pPr>
            <w:r>
              <w:rPr>
                <w:rFonts w:ascii="Calibri" w:hAnsi="Calibri"/>
                <w:sz w:val="20"/>
                <w:szCs w:val="20"/>
              </w:rPr>
              <w:t>Democracy Alliance</w:t>
            </w:r>
          </w:p>
          <w:p w:rsidR="009F5FDF" w:rsidRPr="00C56F7D" w:rsidRDefault="009F5FDF" w:rsidP="009F5FDF">
            <w:pPr>
              <w:spacing w:after="0"/>
              <w:rPr>
                <w:rFonts w:ascii="Calibri" w:hAnsi="Calibri"/>
                <w:sz w:val="20"/>
                <w:szCs w:val="20"/>
              </w:rPr>
            </w:pPr>
            <w:r>
              <w:rPr>
                <w:rFonts w:ascii="Calibri" w:hAnsi="Calibri"/>
                <w:sz w:val="20"/>
                <w:szCs w:val="20"/>
              </w:rPr>
              <w:t xml:space="preserve">Hewlett Foundation </w:t>
            </w:r>
          </w:p>
        </w:tc>
      </w:tr>
      <w:tr w:rsidR="00701452" w:rsidRPr="00C56F7D" w:rsidTr="009F5FDF">
        <w:trPr>
          <w:trHeight w:val="20"/>
        </w:trPr>
        <w:tc>
          <w:tcPr>
            <w:tcW w:w="2070" w:type="dxa"/>
            <w:tcBorders>
              <w:bottom w:val="single" w:sz="8" w:space="0" w:color="auto"/>
            </w:tcBorders>
            <w:tcMar>
              <w:top w:w="0" w:type="dxa"/>
              <w:left w:w="108" w:type="dxa"/>
              <w:bottom w:w="0" w:type="dxa"/>
              <w:right w:w="108" w:type="dxa"/>
            </w:tcMar>
          </w:tcPr>
          <w:p w:rsidR="00701452" w:rsidRPr="00C56F7D" w:rsidRDefault="00701452" w:rsidP="00104953">
            <w:pPr>
              <w:spacing w:after="0"/>
              <w:rPr>
                <w:b/>
                <w:bCs/>
                <w:color w:val="262626"/>
              </w:rPr>
            </w:pPr>
            <w:r w:rsidRPr="00C56F7D">
              <w:rPr>
                <w:b/>
                <w:bCs/>
                <w:color w:val="262626"/>
              </w:rPr>
              <w:t>Contributions expected from Collaborating Programs (250 words)</w:t>
            </w:r>
          </w:p>
        </w:tc>
        <w:tc>
          <w:tcPr>
            <w:tcW w:w="7920" w:type="dxa"/>
            <w:gridSpan w:val="3"/>
            <w:tcBorders>
              <w:bottom w:val="single" w:sz="8" w:space="0" w:color="auto"/>
            </w:tcBorders>
            <w:tcMar>
              <w:top w:w="0" w:type="dxa"/>
              <w:left w:w="108" w:type="dxa"/>
              <w:bottom w:w="0" w:type="dxa"/>
              <w:right w:w="108" w:type="dxa"/>
            </w:tcMar>
          </w:tcPr>
          <w:p w:rsidR="00701452" w:rsidRPr="00C56F7D" w:rsidRDefault="00C56F7D" w:rsidP="003030E4">
            <w:pPr>
              <w:spacing w:after="0"/>
              <w:rPr>
                <w:rFonts w:ascii="Calibri" w:hAnsi="Calibri"/>
                <w:sz w:val="20"/>
                <w:szCs w:val="20"/>
              </w:rPr>
            </w:pPr>
            <w:r>
              <w:rPr>
                <w:rFonts w:ascii="Calibri" w:hAnsi="Calibri"/>
                <w:sz w:val="20"/>
                <w:szCs w:val="20"/>
              </w:rPr>
              <w:t xml:space="preserve"> </w:t>
            </w:r>
            <w:r w:rsidR="003030E4">
              <w:rPr>
                <w:rFonts w:ascii="Calibri" w:hAnsi="Calibri"/>
                <w:sz w:val="20"/>
                <w:szCs w:val="20"/>
              </w:rPr>
              <w:t>OSPC-ena</w:t>
            </w:r>
            <w:r w:rsidR="00406F3A">
              <w:rPr>
                <w:rFonts w:ascii="Calibri" w:hAnsi="Calibri"/>
                <w:sz w:val="20"/>
                <w:szCs w:val="20"/>
              </w:rPr>
              <w:t xml:space="preserve">bled staff of the DC Office, </w:t>
            </w:r>
            <w:r w:rsidR="003030E4">
              <w:rPr>
                <w:rFonts w:ascii="Calibri" w:hAnsi="Calibri"/>
                <w:sz w:val="20"/>
                <w:szCs w:val="20"/>
              </w:rPr>
              <w:t>the Women’s Rights Program</w:t>
            </w:r>
            <w:r w:rsidR="009F141A">
              <w:rPr>
                <w:rFonts w:ascii="Calibri" w:hAnsi="Calibri"/>
                <w:sz w:val="20"/>
                <w:szCs w:val="20"/>
              </w:rPr>
              <w:t xml:space="preserve"> </w:t>
            </w:r>
            <w:r w:rsidR="00406F3A">
              <w:rPr>
                <w:rFonts w:ascii="Calibri" w:hAnsi="Calibri"/>
                <w:sz w:val="20"/>
                <w:szCs w:val="20"/>
              </w:rPr>
              <w:t xml:space="preserve">and U.S. Programs </w:t>
            </w:r>
            <w:r w:rsidR="009F141A">
              <w:rPr>
                <w:rFonts w:ascii="Calibri" w:hAnsi="Calibri"/>
                <w:sz w:val="20"/>
                <w:szCs w:val="20"/>
              </w:rPr>
              <w:t>will be the primary point</w:t>
            </w:r>
            <w:r w:rsidR="003030E4">
              <w:rPr>
                <w:rFonts w:ascii="Calibri" w:hAnsi="Calibri"/>
                <w:sz w:val="20"/>
                <w:szCs w:val="20"/>
              </w:rPr>
              <w:t>s</w:t>
            </w:r>
            <w:r w:rsidR="009F141A">
              <w:rPr>
                <w:rFonts w:ascii="Calibri" w:hAnsi="Calibri"/>
                <w:sz w:val="20"/>
                <w:szCs w:val="20"/>
              </w:rPr>
              <w:t xml:space="preserve"> of contact for PPAF during the course of this grant</w:t>
            </w:r>
            <w:r w:rsidR="00406F3A">
              <w:rPr>
                <w:rFonts w:ascii="Calibri" w:hAnsi="Calibri"/>
                <w:sz w:val="20"/>
                <w:szCs w:val="20"/>
              </w:rPr>
              <w:t>. U.S. Programs will</w:t>
            </w:r>
            <w:r w:rsidR="003030E4">
              <w:rPr>
                <w:rFonts w:ascii="Calibri" w:hAnsi="Calibri"/>
                <w:sz w:val="20"/>
                <w:szCs w:val="20"/>
              </w:rPr>
              <w:t xml:space="preserve"> collaborate as the Planned Parenthood Federation of America is a long-time U</w:t>
            </w:r>
            <w:r w:rsidR="00406F3A">
              <w:rPr>
                <w:rFonts w:ascii="Calibri" w:hAnsi="Calibri"/>
                <w:sz w:val="20"/>
                <w:szCs w:val="20"/>
              </w:rPr>
              <w:t>.</w:t>
            </w:r>
            <w:r w:rsidR="003030E4">
              <w:rPr>
                <w:rFonts w:ascii="Calibri" w:hAnsi="Calibri"/>
                <w:sz w:val="20"/>
                <w:szCs w:val="20"/>
              </w:rPr>
              <w:t>S</w:t>
            </w:r>
            <w:r w:rsidR="00406F3A">
              <w:rPr>
                <w:rFonts w:ascii="Calibri" w:hAnsi="Calibri"/>
                <w:sz w:val="20"/>
                <w:szCs w:val="20"/>
              </w:rPr>
              <w:t xml:space="preserve">. </w:t>
            </w:r>
            <w:r w:rsidR="003030E4">
              <w:rPr>
                <w:rFonts w:ascii="Calibri" w:hAnsi="Calibri"/>
                <w:sz w:val="20"/>
                <w:szCs w:val="20"/>
              </w:rPr>
              <w:t>P</w:t>
            </w:r>
            <w:r w:rsidR="00406F3A">
              <w:rPr>
                <w:rFonts w:ascii="Calibri" w:hAnsi="Calibri"/>
                <w:sz w:val="20"/>
                <w:szCs w:val="20"/>
              </w:rPr>
              <w:t>rorgams</w:t>
            </w:r>
            <w:r w:rsidR="003030E4">
              <w:rPr>
                <w:rFonts w:ascii="Calibri" w:hAnsi="Calibri"/>
                <w:sz w:val="20"/>
                <w:szCs w:val="20"/>
              </w:rPr>
              <w:t xml:space="preserve"> grantee. </w:t>
            </w:r>
          </w:p>
        </w:tc>
      </w:tr>
      <w:tr w:rsidR="00701452" w:rsidRPr="00C56F7D" w:rsidTr="009F5FDF">
        <w:trPr>
          <w:trHeight w:val="20"/>
        </w:trPr>
        <w:tc>
          <w:tcPr>
            <w:tcW w:w="2070" w:type="dxa"/>
            <w:tcBorders>
              <w:bottom w:val="single" w:sz="8" w:space="0" w:color="auto"/>
            </w:tcBorders>
            <w:tcMar>
              <w:top w:w="0" w:type="dxa"/>
              <w:left w:w="108" w:type="dxa"/>
              <w:bottom w:w="0" w:type="dxa"/>
              <w:right w:w="108" w:type="dxa"/>
            </w:tcMar>
          </w:tcPr>
          <w:p w:rsidR="00701452" w:rsidRPr="00C56F7D" w:rsidRDefault="00104953" w:rsidP="009F141A">
            <w:pPr>
              <w:spacing w:after="0"/>
              <w:rPr>
                <w:b/>
                <w:bCs/>
                <w:color w:val="262626"/>
              </w:rPr>
            </w:pPr>
            <w:r>
              <w:rPr>
                <w:b/>
                <w:bCs/>
                <w:color w:val="262626"/>
              </w:rPr>
              <w:t>W</w:t>
            </w:r>
            <w:r w:rsidR="00701452" w:rsidRPr="00C56F7D">
              <w:rPr>
                <w:b/>
                <w:bCs/>
                <w:color w:val="262626"/>
              </w:rPr>
              <w:t>ho within OSF would guide work</w:t>
            </w:r>
          </w:p>
        </w:tc>
        <w:tc>
          <w:tcPr>
            <w:tcW w:w="7920" w:type="dxa"/>
            <w:gridSpan w:val="3"/>
            <w:tcBorders>
              <w:bottom w:val="single" w:sz="8" w:space="0" w:color="auto"/>
            </w:tcBorders>
            <w:tcMar>
              <w:top w:w="0" w:type="dxa"/>
              <w:left w:w="108" w:type="dxa"/>
              <w:bottom w:w="0" w:type="dxa"/>
              <w:right w:w="108" w:type="dxa"/>
            </w:tcMar>
          </w:tcPr>
          <w:p w:rsidR="009F141A" w:rsidRDefault="009F141A" w:rsidP="009F141A">
            <w:pPr>
              <w:spacing w:after="0"/>
              <w:rPr>
                <w:sz w:val="20"/>
                <w:szCs w:val="20"/>
              </w:rPr>
            </w:pPr>
            <w:r>
              <w:rPr>
                <w:sz w:val="20"/>
                <w:szCs w:val="20"/>
              </w:rPr>
              <w:t xml:space="preserve">Caroline Chambers, Deputy Director and </w:t>
            </w:r>
            <w:r w:rsidRPr="009F141A">
              <w:rPr>
                <w:sz w:val="20"/>
                <w:szCs w:val="20"/>
              </w:rPr>
              <w:t>Senior Domestic Policy Advisor</w:t>
            </w:r>
            <w:r>
              <w:rPr>
                <w:sz w:val="20"/>
                <w:szCs w:val="20"/>
              </w:rPr>
              <w:t>, OSPC</w:t>
            </w:r>
          </w:p>
          <w:p w:rsidR="009F141A" w:rsidRDefault="009F141A" w:rsidP="009F141A">
            <w:pPr>
              <w:spacing w:after="0"/>
              <w:rPr>
                <w:sz w:val="20"/>
                <w:szCs w:val="20"/>
              </w:rPr>
            </w:pPr>
            <w:r w:rsidRPr="009F141A">
              <w:rPr>
                <w:sz w:val="20"/>
                <w:szCs w:val="20"/>
              </w:rPr>
              <w:t xml:space="preserve">Cynthia </w:t>
            </w:r>
            <w:proofErr w:type="spellStart"/>
            <w:r w:rsidRPr="009F141A">
              <w:rPr>
                <w:sz w:val="20"/>
                <w:szCs w:val="20"/>
              </w:rPr>
              <w:t>Eyakuze</w:t>
            </w:r>
            <w:proofErr w:type="spellEnd"/>
            <w:r>
              <w:rPr>
                <w:sz w:val="20"/>
                <w:szCs w:val="20"/>
              </w:rPr>
              <w:t xml:space="preserve">, </w:t>
            </w:r>
            <w:r w:rsidRPr="009F141A">
              <w:rPr>
                <w:sz w:val="20"/>
                <w:szCs w:val="20"/>
              </w:rPr>
              <w:t xml:space="preserve">Director, Women’s Rights Program </w:t>
            </w:r>
          </w:p>
          <w:p w:rsidR="009F141A" w:rsidRPr="009F5FDF" w:rsidRDefault="009F141A" w:rsidP="009F141A">
            <w:pPr>
              <w:spacing w:after="0"/>
              <w:rPr>
                <w:sz w:val="20"/>
                <w:szCs w:val="20"/>
              </w:rPr>
            </w:pPr>
            <w:r>
              <w:rPr>
                <w:sz w:val="20"/>
                <w:szCs w:val="20"/>
              </w:rPr>
              <w:t xml:space="preserve">Elisa Slattery, </w:t>
            </w:r>
            <w:r w:rsidRPr="009F141A">
              <w:rPr>
                <w:sz w:val="20"/>
                <w:szCs w:val="20"/>
              </w:rPr>
              <w:t>Senior Program Officer, Women's Rights Program</w:t>
            </w:r>
          </w:p>
        </w:tc>
      </w:tr>
      <w:tr w:rsidR="00701452" w:rsidRPr="00C56F7D" w:rsidTr="009F5FDF">
        <w:trPr>
          <w:trHeight w:val="169"/>
        </w:trPr>
        <w:tc>
          <w:tcPr>
            <w:tcW w:w="2070" w:type="dxa"/>
            <w:tcBorders>
              <w:left w:val="nil"/>
              <w:right w:val="nil"/>
            </w:tcBorders>
            <w:tcMar>
              <w:top w:w="0" w:type="dxa"/>
              <w:left w:w="108" w:type="dxa"/>
              <w:bottom w:w="0" w:type="dxa"/>
              <w:right w:w="108" w:type="dxa"/>
            </w:tcMar>
          </w:tcPr>
          <w:p w:rsidR="00C56F7D" w:rsidRPr="00C56F7D" w:rsidRDefault="00C56F7D" w:rsidP="00104953">
            <w:pPr>
              <w:spacing w:after="0"/>
              <w:rPr>
                <w:b/>
                <w:bCs/>
                <w:color w:val="262626"/>
              </w:rPr>
            </w:pPr>
          </w:p>
        </w:tc>
        <w:tc>
          <w:tcPr>
            <w:tcW w:w="7920" w:type="dxa"/>
            <w:gridSpan w:val="3"/>
            <w:tcBorders>
              <w:left w:val="nil"/>
              <w:right w:val="nil"/>
            </w:tcBorders>
            <w:tcMar>
              <w:top w:w="0" w:type="dxa"/>
              <w:left w:w="108" w:type="dxa"/>
              <w:bottom w:w="0" w:type="dxa"/>
              <w:right w:w="108" w:type="dxa"/>
            </w:tcMar>
          </w:tcPr>
          <w:p w:rsidR="00701452" w:rsidRPr="00C56F7D" w:rsidRDefault="00701452" w:rsidP="00104953">
            <w:pPr>
              <w:spacing w:after="0"/>
              <w:rPr>
                <w:rFonts w:ascii="Calibri" w:hAnsi="Calibri"/>
                <w:sz w:val="20"/>
                <w:szCs w:val="20"/>
              </w:rPr>
            </w:pPr>
          </w:p>
        </w:tc>
      </w:tr>
      <w:tr w:rsidR="004A1863" w:rsidRPr="00C56F7D" w:rsidTr="009F5FDF">
        <w:trPr>
          <w:trHeight w:val="229"/>
        </w:trPr>
        <w:tc>
          <w:tcPr>
            <w:tcW w:w="2070" w:type="dxa"/>
            <w:vMerge w:val="restart"/>
            <w:tcMar>
              <w:top w:w="0" w:type="dxa"/>
              <w:left w:w="108" w:type="dxa"/>
              <w:bottom w:w="0" w:type="dxa"/>
              <w:right w:w="108" w:type="dxa"/>
            </w:tcMar>
            <w:hideMark/>
          </w:tcPr>
          <w:p w:rsidR="004A1863" w:rsidRPr="00C56F7D" w:rsidRDefault="004A1863" w:rsidP="00104953">
            <w:pPr>
              <w:spacing w:after="0"/>
              <w:rPr>
                <w:b/>
                <w:bCs/>
                <w:color w:val="262626"/>
              </w:rPr>
            </w:pPr>
            <w:r w:rsidRPr="00C56F7D">
              <w:rPr>
                <w:b/>
                <w:bCs/>
                <w:color w:val="262626"/>
              </w:rPr>
              <w:t>A</w:t>
            </w:r>
            <w:r w:rsidR="00701452" w:rsidRPr="00C56F7D">
              <w:rPr>
                <w:b/>
                <w:bCs/>
                <w:color w:val="262626"/>
              </w:rPr>
              <w:t>llocator</w:t>
            </w:r>
          </w:p>
          <w:p w:rsidR="00701452" w:rsidRPr="00C56F7D" w:rsidRDefault="00701452" w:rsidP="00104953">
            <w:pPr>
              <w:spacing w:after="0"/>
              <w:rPr>
                <w:bCs/>
                <w:i/>
                <w:color w:val="262626"/>
                <w:sz w:val="16"/>
                <w:szCs w:val="16"/>
              </w:rPr>
            </w:pPr>
            <w:r w:rsidRPr="00C56F7D">
              <w:rPr>
                <w:bCs/>
                <w:i/>
                <w:color w:val="262626"/>
                <w:sz w:val="16"/>
                <w:szCs w:val="16"/>
              </w:rPr>
              <w:t xml:space="preserve">(See list on </w:t>
            </w:r>
            <w:hyperlink r:id="rId9" w:history="1">
              <w:r w:rsidRPr="00C56F7D">
                <w:rPr>
                  <w:rStyle w:val="Hyperlink"/>
                  <w:bCs/>
                  <w:i/>
                  <w:sz w:val="16"/>
                  <w:szCs w:val="16"/>
                </w:rPr>
                <w:t>Reserve Funds KARL</w:t>
              </w:r>
            </w:hyperlink>
            <w:r w:rsidRPr="00C56F7D">
              <w:rPr>
                <w:bCs/>
                <w:i/>
                <w:color w:val="262626"/>
                <w:sz w:val="16"/>
                <w:szCs w:val="16"/>
              </w:rPr>
              <w:t>)</w:t>
            </w:r>
          </w:p>
        </w:tc>
        <w:tc>
          <w:tcPr>
            <w:tcW w:w="2231" w:type="dxa"/>
            <w:tcMar>
              <w:top w:w="0" w:type="dxa"/>
              <w:left w:w="108" w:type="dxa"/>
              <w:bottom w:w="0" w:type="dxa"/>
              <w:right w:w="108" w:type="dxa"/>
            </w:tcMar>
          </w:tcPr>
          <w:p w:rsidR="004A1863" w:rsidRPr="00C56F7D" w:rsidRDefault="004A1863" w:rsidP="00104953">
            <w:pPr>
              <w:spacing w:after="0"/>
              <w:rPr>
                <w:rFonts w:ascii="Calibri" w:hAnsi="Calibri"/>
                <w:color w:val="262626"/>
                <w:sz w:val="20"/>
                <w:szCs w:val="20"/>
              </w:rPr>
            </w:pPr>
            <w:r w:rsidRPr="00C56F7D">
              <w:rPr>
                <w:rFonts w:ascii="Calibri" w:hAnsi="Calibri"/>
                <w:color w:val="262626"/>
                <w:sz w:val="20"/>
                <w:szCs w:val="20"/>
              </w:rPr>
              <w:t>Name</w:t>
            </w:r>
          </w:p>
        </w:tc>
        <w:tc>
          <w:tcPr>
            <w:tcW w:w="5689" w:type="dxa"/>
            <w:gridSpan w:val="2"/>
          </w:tcPr>
          <w:p w:rsidR="004A1863" w:rsidRPr="00C56F7D" w:rsidRDefault="005005DB" w:rsidP="00104953">
            <w:pPr>
              <w:spacing w:after="0"/>
              <w:ind w:left="720"/>
              <w:rPr>
                <w:rFonts w:ascii="Calibri" w:hAnsi="Calibri"/>
                <w:color w:val="262626"/>
                <w:sz w:val="20"/>
                <w:szCs w:val="20"/>
              </w:rPr>
            </w:pPr>
            <w:r w:rsidRPr="00C56F7D">
              <w:rPr>
                <w:rFonts w:ascii="Calibri" w:hAnsi="Calibri"/>
                <w:color w:val="262626"/>
                <w:sz w:val="20"/>
                <w:szCs w:val="20"/>
              </w:rPr>
              <w:t>Ken Zimmerman, Director, US Programs</w:t>
            </w:r>
          </w:p>
        </w:tc>
      </w:tr>
      <w:tr w:rsidR="004A1863" w:rsidRPr="00C56F7D" w:rsidTr="009F5FDF">
        <w:trPr>
          <w:trHeight w:val="273"/>
        </w:trPr>
        <w:tc>
          <w:tcPr>
            <w:tcW w:w="2070" w:type="dxa"/>
            <w:vMerge/>
            <w:tcMar>
              <w:top w:w="0" w:type="dxa"/>
              <w:left w:w="108" w:type="dxa"/>
              <w:bottom w:w="0" w:type="dxa"/>
              <w:right w:w="108" w:type="dxa"/>
            </w:tcMar>
          </w:tcPr>
          <w:p w:rsidR="004A1863" w:rsidRPr="00C56F7D" w:rsidRDefault="004A1863" w:rsidP="00104953">
            <w:pPr>
              <w:spacing w:after="0"/>
              <w:rPr>
                <w:b/>
                <w:bCs/>
                <w:color w:val="262626"/>
              </w:rPr>
            </w:pPr>
          </w:p>
        </w:tc>
        <w:tc>
          <w:tcPr>
            <w:tcW w:w="2231" w:type="dxa"/>
            <w:tcMar>
              <w:top w:w="0" w:type="dxa"/>
              <w:left w:w="108" w:type="dxa"/>
              <w:bottom w:w="0" w:type="dxa"/>
              <w:right w:w="108" w:type="dxa"/>
            </w:tcMar>
          </w:tcPr>
          <w:p w:rsidR="004A1863" w:rsidRPr="00C56F7D" w:rsidRDefault="004A1863" w:rsidP="00104953">
            <w:pPr>
              <w:spacing w:after="0"/>
              <w:rPr>
                <w:rFonts w:ascii="Calibri" w:hAnsi="Calibri"/>
                <w:color w:val="262626"/>
                <w:sz w:val="20"/>
                <w:szCs w:val="20"/>
              </w:rPr>
            </w:pPr>
            <w:r w:rsidRPr="00C56F7D">
              <w:rPr>
                <w:rFonts w:ascii="Calibri" w:hAnsi="Calibri"/>
                <w:color w:val="262626"/>
                <w:sz w:val="20"/>
                <w:szCs w:val="20"/>
              </w:rPr>
              <w:t>Date Approved</w:t>
            </w:r>
          </w:p>
        </w:tc>
        <w:tc>
          <w:tcPr>
            <w:tcW w:w="5689" w:type="dxa"/>
            <w:gridSpan w:val="2"/>
          </w:tcPr>
          <w:p w:rsidR="004A1863" w:rsidRPr="00C56F7D" w:rsidRDefault="004A1863" w:rsidP="00104953">
            <w:pPr>
              <w:spacing w:after="0"/>
              <w:ind w:left="720"/>
              <w:rPr>
                <w:rFonts w:ascii="Calibri" w:hAnsi="Calibri"/>
                <w:color w:val="262626"/>
                <w:sz w:val="20"/>
                <w:szCs w:val="20"/>
              </w:rPr>
            </w:pPr>
          </w:p>
        </w:tc>
      </w:tr>
      <w:tr w:rsidR="006E3392" w:rsidRPr="00C56F7D" w:rsidTr="009F5FDF">
        <w:tblPrEx>
          <w:shd w:val="clear" w:color="auto" w:fill="CCFFCC"/>
        </w:tblPrEx>
        <w:trPr>
          <w:trHeight w:val="556"/>
        </w:trPr>
        <w:tc>
          <w:tcPr>
            <w:tcW w:w="2070" w:type="dxa"/>
            <w:vMerge w:val="restart"/>
            <w:shd w:val="clear" w:color="auto" w:fill="CCFFCC"/>
            <w:tcMar>
              <w:top w:w="0" w:type="dxa"/>
              <w:left w:w="108" w:type="dxa"/>
              <w:bottom w:w="0" w:type="dxa"/>
              <w:right w:w="108" w:type="dxa"/>
            </w:tcMar>
            <w:hideMark/>
          </w:tcPr>
          <w:p w:rsidR="006E3392" w:rsidRPr="00C56F7D" w:rsidRDefault="000F10A2" w:rsidP="00104953">
            <w:pPr>
              <w:spacing w:after="0"/>
              <w:rPr>
                <w:b/>
                <w:bCs/>
                <w:color w:val="262626"/>
              </w:rPr>
            </w:pPr>
            <w:r w:rsidRPr="00C56F7D">
              <w:rPr>
                <w:b/>
                <w:bCs/>
                <w:color w:val="262626"/>
              </w:rPr>
              <w:t>Allocator</w:t>
            </w:r>
            <w:r w:rsidR="00411B69" w:rsidRPr="00C56F7D">
              <w:rPr>
                <w:b/>
                <w:bCs/>
                <w:color w:val="262626"/>
              </w:rPr>
              <w:t xml:space="preserve"> Notes / Comments</w:t>
            </w:r>
          </w:p>
          <w:p w:rsidR="006E3392" w:rsidRPr="00C56F7D" w:rsidRDefault="006E3392" w:rsidP="00104953">
            <w:pPr>
              <w:spacing w:after="0"/>
              <w:rPr>
                <w:rFonts w:ascii="Calibri" w:hAnsi="Calibri"/>
                <w:b/>
                <w:bCs/>
                <w:color w:val="262626"/>
              </w:rPr>
            </w:pPr>
            <w:r w:rsidRPr="00C56F7D">
              <w:rPr>
                <w:bCs/>
                <w:i/>
                <w:color w:val="262626"/>
                <w:sz w:val="16"/>
                <w:szCs w:val="16"/>
              </w:rPr>
              <w:t>(</w:t>
            </w:r>
            <w:r w:rsidR="00701452" w:rsidRPr="00C56F7D">
              <w:rPr>
                <w:bCs/>
                <w:i/>
                <w:color w:val="262626"/>
                <w:sz w:val="16"/>
                <w:szCs w:val="16"/>
              </w:rPr>
              <w:t xml:space="preserve">To be completed by </w:t>
            </w:r>
            <w:r w:rsidR="00701452" w:rsidRPr="00C56F7D">
              <w:rPr>
                <w:bCs/>
                <w:i/>
                <w:color w:val="262626"/>
                <w:sz w:val="16"/>
                <w:szCs w:val="16"/>
                <w:u w:val="single"/>
              </w:rPr>
              <w:t>a</w:t>
            </w:r>
            <w:r w:rsidR="000F10A2" w:rsidRPr="00C56F7D">
              <w:rPr>
                <w:bCs/>
                <w:i/>
                <w:color w:val="262626"/>
                <w:sz w:val="16"/>
                <w:szCs w:val="16"/>
                <w:u w:val="single"/>
              </w:rPr>
              <w:t>llocator</w:t>
            </w:r>
            <w:r w:rsidRPr="00C56F7D">
              <w:rPr>
                <w:bCs/>
                <w:i/>
                <w:color w:val="262626"/>
                <w:sz w:val="16"/>
                <w:szCs w:val="16"/>
                <w:u w:val="single"/>
              </w:rPr>
              <w:t xml:space="preserve"> only</w:t>
            </w:r>
            <w:r w:rsidRPr="00C56F7D">
              <w:rPr>
                <w:bCs/>
                <w:i/>
                <w:color w:val="262626"/>
                <w:sz w:val="16"/>
                <w:szCs w:val="16"/>
              </w:rPr>
              <w:t>)</w:t>
            </w:r>
          </w:p>
        </w:tc>
        <w:tc>
          <w:tcPr>
            <w:tcW w:w="7920" w:type="dxa"/>
            <w:gridSpan w:val="3"/>
            <w:shd w:val="clear" w:color="auto" w:fill="CCFFCC"/>
            <w:tcMar>
              <w:top w:w="0" w:type="dxa"/>
              <w:left w:w="108" w:type="dxa"/>
              <w:bottom w:w="0" w:type="dxa"/>
              <w:right w:w="108" w:type="dxa"/>
            </w:tcMar>
          </w:tcPr>
          <w:p w:rsidR="006E3392" w:rsidRPr="00C56F7D" w:rsidRDefault="006E3392" w:rsidP="00104953">
            <w:pPr>
              <w:spacing w:after="0"/>
              <w:rPr>
                <w:bCs/>
                <w:i/>
                <w:color w:val="262626"/>
                <w:sz w:val="16"/>
                <w:szCs w:val="20"/>
              </w:rPr>
            </w:pPr>
            <w:r w:rsidRPr="00C56F7D">
              <w:rPr>
                <w:bCs/>
                <w:i/>
                <w:color w:val="262626"/>
                <w:sz w:val="16"/>
                <w:szCs w:val="20"/>
              </w:rPr>
              <w:t>(</w:t>
            </w:r>
            <w:r w:rsidR="00411B69" w:rsidRPr="00C56F7D">
              <w:rPr>
                <w:bCs/>
                <w:i/>
                <w:color w:val="262626"/>
                <w:sz w:val="16"/>
                <w:szCs w:val="20"/>
              </w:rPr>
              <w:t xml:space="preserve">Notes/Comments - </w:t>
            </w:r>
            <w:r w:rsidRPr="00C56F7D">
              <w:rPr>
                <w:bCs/>
                <w:i/>
                <w:color w:val="262626"/>
                <w:sz w:val="16"/>
                <w:szCs w:val="20"/>
              </w:rPr>
              <w:t>Optional field)</w:t>
            </w:r>
          </w:p>
          <w:p w:rsidR="006E3392" w:rsidRPr="00C56F7D" w:rsidRDefault="006E3392" w:rsidP="00104953">
            <w:pPr>
              <w:spacing w:after="0"/>
              <w:rPr>
                <w:rFonts w:ascii="Calibri" w:hAnsi="Calibri"/>
                <w:color w:val="262626"/>
                <w:sz w:val="20"/>
                <w:szCs w:val="20"/>
              </w:rPr>
            </w:pPr>
          </w:p>
        </w:tc>
      </w:tr>
      <w:tr w:rsidR="006E3392" w:rsidRPr="00C56F7D" w:rsidTr="009F5FDF">
        <w:tblPrEx>
          <w:shd w:val="clear" w:color="auto" w:fill="CCFFCC"/>
        </w:tblPrEx>
        <w:trPr>
          <w:trHeight w:val="665"/>
        </w:trPr>
        <w:tc>
          <w:tcPr>
            <w:tcW w:w="2070" w:type="dxa"/>
            <w:vMerge/>
            <w:shd w:val="clear" w:color="auto" w:fill="CCFFCC"/>
            <w:tcMar>
              <w:top w:w="0" w:type="dxa"/>
              <w:left w:w="108" w:type="dxa"/>
              <w:bottom w:w="0" w:type="dxa"/>
              <w:right w:w="108" w:type="dxa"/>
            </w:tcMar>
          </w:tcPr>
          <w:p w:rsidR="006E3392" w:rsidRPr="00C56F7D" w:rsidRDefault="006E3392" w:rsidP="00104953">
            <w:pPr>
              <w:spacing w:after="0"/>
              <w:rPr>
                <w:b/>
                <w:bCs/>
                <w:color w:val="262626"/>
              </w:rPr>
            </w:pPr>
          </w:p>
        </w:tc>
        <w:tc>
          <w:tcPr>
            <w:tcW w:w="7920" w:type="dxa"/>
            <w:gridSpan w:val="3"/>
            <w:shd w:val="clear" w:color="auto" w:fill="CCFFCC"/>
            <w:tcMar>
              <w:top w:w="0" w:type="dxa"/>
              <w:left w:w="108" w:type="dxa"/>
              <w:bottom w:w="0" w:type="dxa"/>
              <w:right w:w="108" w:type="dxa"/>
            </w:tcMar>
          </w:tcPr>
          <w:p w:rsidR="006E3392" w:rsidRPr="00C56F7D" w:rsidRDefault="006E3392" w:rsidP="00104953">
            <w:pPr>
              <w:spacing w:after="0" w:line="240" w:lineRule="auto"/>
              <w:rPr>
                <w:i/>
                <w:sz w:val="16"/>
                <w:szCs w:val="20"/>
              </w:rPr>
            </w:pPr>
            <w:r w:rsidRPr="00C56F7D">
              <w:rPr>
                <w:i/>
                <w:sz w:val="16"/>
                <w:szCs w:val="20"/>
              </w:rPr>
              <w:t>(Criteria checklist)</w:t>
            </w:r>
          </w:p>
          <w:p w:rsidR="006E3392" w:rsidRPr="00C56F7D" w:rsidRDefault="00B57DE9" w:rsidP="00104953">
            <w:pPr>
              <w:spacing w:after="0" w:line="240" w:lineRule="auto"/>
              <w:rPr>
                <w:rFonts w:ascii="Calibri" w:hAnsi="Calibri"/>
                <w:color w:val="262626"/>
                <w:sz w:val="20"/>
                <w:szCs w:val="20"/>
              </w:rPr>
            </w:pPr>
            <w:sdt>
              <w:sdtPr>
                <w:rPr>
                  <w:sz w:val="20"/>
                  <w:szCs w:val="20"/>
                </w:rPr>
                <w:id w:val="1273205180"/>
                <w14:checkbox>
                  <w14:checked w14:val="0"/>
                  <w14:checkedState w14:val="2612" w14:font="MS Gothic"/>
                  <w14:uncheckedState w14:val="2610" w14:font="MS Gothic"/>
                </w14:checkbox>
              </w:sdtPr>
              <w:sdtEndPr/>
              <w:sdtContent>
                <w:r w:rsidR="00411B69" w:rsidRPr="00C56F7D">
                  <w:rPr>
                    <w:rFonts w:ascii="MS Gothic" w:eastAsia="MS Gothic" w:hAnsi="MS Gothic"/>
                    <w:sz w:val="20"/>
                    <w:szCs w:val="20"/>
                  </w:rPr>
                  <w:t>☐</w:t>
                </w:r>
              </w:sdtContent>
            </w:sdt>
            <w:r w:rsidR="006E3392" w:rsidRPr="00C56F7D">
              <w:rPr>
                <w:rFonts w:ascii="Calibri" w:hAnsi="Calibri"/>
                <w:color w:val="262626"/>
                <w:sz w:val="20"/>
                <w:szCs w:val="20"/>
              </w:rPr>
              <w:t xml:space="preserve"> Is this an </w:t>
            </w:r>
            <w:r w:rsidR="006E3392" w:rsidRPr="00C56F7D">
              <w:rPr>
                <w:rFonts w:ascii="Calibri" w:hAnsi="Calibri"/>
                <w:color w:val="262626"/>
                <w:sz w:val="20"/>
                <w:szCs w:val="20"/>
                <w:u w:val="single"/>
              </w:rPr>
              <w:t>unforeseen</w:t>
            </w:r>
            <w:r w:rsidR="006E3392" w:rsidRPr="00C56F7D">
              <w:rPr>
                <w:rFonts w:ascii="Calibri" w:hAnsi="Calibri"/>
                <w:color w:val="262626"/>
                <w:sz w:val="20"/>
                <w:szCs w:val="20"/>
              </w:rPr>
              <w:t xml:space="preserve"> opportunity or a genuinely new idea to advance core open society commitments?</w:t>
            </w:r>
          </w:p>
          <w:p w:rsidR="006E3392" w:rsidRPr="00C56F7D" w:rsidRDefault="00B57DE9" w:rsidP="00104953">
            <w:pPr>
              <w:spacing w:after="0" w:line="240" w:lineRule="auto"/>
              <w:rPr>
                <w:rFonts w:ascii="Calibri" w:hAnsi="Calibri"/>
                <w:color w:val="262626"/>
                <w:sz w:val="20"/>
                <w:szCs w:val="20"/>
              </w:rPr>
            </w:pPr>
            <w:sdt>
              <w:sdtPr>
                <w:rPr>
                  <w:sz w:val="20"/>
                  <w:szCs w:val="20"/>
                </w:rPr>
                <w:id w:val="1128120576"/>
                <w14:checkbox>
                  <w14:checked w14:val="0"/>
                  <w14:checkedState w14:val="2612" w14:font="MS Gothic"/>
                  <w14:uncheckedState w14:val="2610" w14:font="MS Gothic"/>
                </w14:checkbox>
              </w:sdtPr>
              <w:sdtEndPr/>
              <w:sdtContent>
                <w:r w:rsidR="00411B69" w:rsidRPr="00C56F7D">
                  <w:rPr>
                    <w:rFonts w:ascii="MS Gothic" w:eastAsia="MS Gothic" w:hAnsi="MS Gothic"/>
                    <w:sz w:val="20"/>
                    <w:szCs w:val="20"/>
                  </w:rPr>
                  <w:t>☐</w:t>
                </w:r>
              </w:sdtContent>
            </w:sdt>
            <w:r w:rsidR="006E3392" w:rsidRPr="00C56F7D">
              <w:rPr>
                <w:rFonts w:ascii="Calibri" w:hAnsi="Calibri"/>
                <w:color w:val="262626"/>
                <w:sz w:val="20"/>
                <w:szCs w:val="20"/>
              </w:rPr>
              <w:t xml:space="preserve"> Is the need time-sensitive?  </w:t>
            </w:r>
          </w:p>
          <w:p w:rsidR="006E3392" w:rsidRPr="00C56F7D" w:rsidRDefault="00B57DE9" w:rsidP="00104953">
            <w:pPr>
              <w:spacing w:after="0" w:line="240" w:lineRule="auto"/>
              <w:rPr>
                <w:rFonts w:ascii="Calibri" w:hAnsi="Calibri"/>
                <w:color w:val="262626"/>
                <w:sz w:val="20"/>
                <w:szCs w:val="20"/>
              </w:rPr>
            </w:pPr>
            <w:sdt>
              <w:sdtPr>
                <w:rPr>
                  <w:sz w:val="20"/>
                  <w:szCs w:val="20"/>
                </w:rPr>
                <w:id w:val="-2042427662"/>
                <w14:checkbox>
                  <w14:checked w14:val="0"/>
                  <w14:checkedState w14:val="2612" w14:font="MS Gothic"/>
                  <w14:uncheckedState w14:val="2610" w14:font="MS Gothic"/>
                </w14:checkbox>
              </w:sdtPr>
              <w:sdtEndPr/>
              <w:sdtContent>
                <w:r w:rsidR="00411B69" w:rsidRPr="00C56F7D">
                  <w:rPr>
                    <w:rFonts w:ascii="MS Gothic" w:eastAsia="MS Gothic" w:hAnsi="MS Gothic"/>
                    <w:sz w:val="20"/>
                    <w:szCs w:val="20"/>
                  </w:rPr>
                  <w:t>☐</w:t>
                </w:r>
              </w:sdtContent>
            </w:sdt>
            <w:r w:rsidR="006E3392" w:rsidRPr="00C56F7D">
              <w:rPr>
                <w:rFonts w:ascii="Calibri" w:hAnsi="Calibri"/>
                <w:color w:val="262626"/>
                <w:sz w:val="20"/>
                <w:szCs w:val="20"/>
              </w:rPr>
              <w:t xml:space="preserve"> Are we proposing to do something that others are not doing?  </w:t>
            </w:r>
          </w:p>
          <w:p w:rsidR="006E3392" w:rsidRPr="00C56F7D" w:rsidRDefault="00B57DE9" w:rsidP="00104953">
            <w:pPr>
              <w:spacing w:after="0" w:line="240" w:lineRule="auto"/>
              <w:rPr>
                <w:rFonts w:ascii="Calibri" w:hAnsi="Calibri"/>
                <w:color w:val="262626"/>
                <w:sz w:val="20"/>
                <w:szCs w:val="20"/>
              </w:rPr>
            </w:pPr>
            <w:sdt>
              <w:sdtPr>
                <w:rPr>
                  <w:sz w:val="20"/>
                  <w:szCs w:val="20"/>
                </w:rPr>
                <w:id w:val="-985391662"/>
                <w14:checkbox>
                  <w14:checked w14:val="0"/>
                  <w14:checkedState w14:val="2612" w14:font="MS Gothic"/>
                  <w14:uncheckedState w14:val="2610" w14:font="MS Gothic"/>
                </w14:checkbox>
              </w:sdtPr>
              <w:sdtEndPr/>
              <w:sdtContent>
                <w:r w:rsidR="00411B69" w:rsidRPr="00C56F7D">
                  <w:rPr>
                    <w:rFonts w:ascii="MS Gothic" w:eastAsia="MS Gothic" w:hAnsi="MS Gothic"/>
                    <w:sz w:val="20"/>
                    <w:szCs w:val="20"/>
                  </w:rPr>
                  <w:t>☐</w:t>
                </w:r>
              </w:sdtContent>
            </w:sdt>
            <w:r w:rsidR="006E3392" w:rsidRPr="00C56F7D">
              <w:rPr>
                <w:rFonts w:ascii="Calibri" w:hAnsi="Calibri"/>
                <w:color w:val="262626"/>
                <w:sz w:val="20"/>
                <w:szCs w:val="20"/>
              </w:rPr>
              <w:t xml:space="preserve"> Is the plan compelling?  </w:t>
            </w:r>
          </w:p>
          <w:p w:rsidR="006E3392" w:rsidRPr="00C56F7D" w:rsidRDefault="00B57DE9" w:rsidP="00104953">
            <w:pPr>
              <w:spacing w:after="0" w:line="240" w:lineRule="auto"/>
              <w:rPr>
                <w:rFonts w:ascii="Calibri" w:hAnsi="Calibri"/>
                <w:color w:val="262626"/>
                <w:sz w:val="20"/>
                <w:szCs w:val="20"/>
              </w:rPr>
            </w:pPr>
            <w:sdt>
              <w:sdtPr>
                <w:rPr>
                  <w:sz w:val="20"/>
                  <w:szCs w:val="20"/>
                </w:rPr>
                <w:id w:val="1419915727"/>
                <w14:checkbox>
                  <w14:checked w14:val="0"/>
                  <w14:checkedState w14:val="2612" w14:font="MS Gothic"/>
                  <w14:uncheckedState w14:val="2610" w14:font="MS Gothic"/>
                </w14:checkbox>
              </w:sdtPr>
              <w:sdtEndPr/>
              <w:sdtContent>
                <w:r w:rsidR="00411B69" w:rsidRPr="00C56F7D">
                  <w:rPr>
                    <w:rFonts w:ascii="MS Gothic" w:eastAsia="MS Gothic" w:hAnsi="MS Gothic"/>
                    <w:sz w:val="20"/>
                    <w:szCs w:val="20"/>
                  </w:rPr>
                  <w:t>☐</w:t>
                </w:r>
              </w:sdtContent>
            </w:sdt>
            <w:r w:rsidR="006E3392" w:rsidRPr="00C56F7D">
              <w:rPr>
                <w:rFonts w:ascii="Calibri" w:hAnsi="Calibri"/>
                <w:color w:val="262626"/>
                <w:sz w:val="20"/>
                <w:szCs w:val="20"/>
              </w:rPr>
              <w:t xml:space="preserve"> Does the planned activity take good advantage of OSF capacity?  </w:t>
            </w:r>
          </w:p>
          <w:p w:rsidR="006E3392" w:rsidRPr="00C56F7D" w:rsidRDefault="00B57DE9" w:rsidP="00104953">
            <w:pPr>
              <w:spacing w:after="0" w:line="240" w:lineRule="auto"/>
              <w:rPr>
                <w:sz w:val="20"/>
                <w:szCs w:val="20"/>
              </w:rPr>
            </w:pPr>
            <w:sdt>
              <w:sdtPr>
                <w:rPr>
                  <w:sz w:val="20"/>
                  <w:szCs w:val="20"/>
                </w:rPr>
                <w:id w:val="285173104"/>
                <w14:checkbox>
                  <w14:checked w14:val="0"/>
                  <w14:checkedState w14:val="2612" w14:font="MS Gothic"/>
                  <w14:uncheckedState w14:val="2610" w14:font="MS Gothic"/>
                </w14:checkbox>
              </w:sdtPr>
              <w:sdtEndPr/>
              <w:sdtContent>
                <w:r w:rsidR="00411B69" w:rsidRPr="00C56F7D">
                  <w:rPr>
                    <w:rFonts w:ascii="MS Gothic" w:eastAsia="MS Gothic" w:hAnsi="MS Gothic"/>
                    <w:sz w:val="20"/>
                    <w:szCs w:val="20"/>
                  </w:rPr>
                  <w:t>☐</w:t>
                </w:r>
              </w:sdtContent>
            </w:sdt>
            <w:r w:rsidR="006E3392" w:rsidRPr="00C56F7D">
              <w:rPr>
                <w:rFonts w:ascii="Calibri" w:hAnsi="Calibri"/>
                <w:color w:val="262626"/>
                <w:sz w:val="20"/>
                <w:szCs w:val="20"/>
              </w:rPr>
              <w:t xml:space="preserve"> Is the team leading the work up to the task?</w:t>
            </w:r>
            <w:r w:rsidR="006E3392" w:rsidRPr="00C56F7D">
              <w:rPr>
                <w:sz w:val="20"/>
                <w:szCs w:val="20"/>
              </w:rPr>
              <w:t xml:space="preserve">  </w:t>
            </w:r>
          </w:p>
        </w:tc>
      </w:tr>
      <w:tr w:rsidR="00701452" w:rsidRPr="00C56F7D" w:rsidTr="009F5FDF">
        <w:trPr>
          <w:trHeight w:val="511"/>
        </w:trPr>
        <w:tc>
          <w:tcPr>
            <w:tcW w:w="2070" w:type="dxa"/>
            <w:tcMar>
              <w:top w:w="0" w:type="dxa"/>
              <w:left w:w="108" w:type="dxa"/>
              <w:bottom w:w="0" w:type="dxa"/>
              <w:right w:w="108" w:type="dxa"/>
            </w:tcMar>
          </w:tcPr>
          <w:p w:rsidR="00701452" w:rsidRPr="00C56F7D" w:rsidRDefault="00701452" w:rsidP="00104953">
            <w:pPr>
              <w:spacing w:after="0"/>
              <w:rPr>
                <w:b/>
                <w:bCs/>
                <w:color w:val="262626"/>
              </w:rPr>
            </w:pPr>
            <w:r w:rsidRPr="00C56F7D">
              <w:rPr>
                <w:b/>
                <w:bCs/>
                <w:color w:val="262626"/>
              </w:rPr>
              <w:t>Urgency level for grant approval &amp; payments</w:t>
            </w:r>
          </w:p>
        </w:tc>
        <w:tc>
          <w:tcPr>
            <w:tcW w:w="4005" w:type="dxa"/>
            <w:gridSpan w:val="2"/>
            <w:tcMar>
              <w:top w:w="0" w:type="dxa"/>
              <w:left w:w="108" w:type="dxa"/>
              <w:bottom w:w="0" w:type="dxa"/>
              <w:right w:w="108" w:type="dxa"/>
            </w:tcMar>
            <w:vAlign w:val="center"/>
          </w:tcPr>
          <w:p w:rsidR="00701452" w:rsidRPr="00C56F7D" w:rsidRDefault="00B57DE9" w:rsidP="00104953">
            <w:pPr>
              <w:pStyle w:val="ColorfulList-Accent11"/>
              <w:spacing w:after="0" w:line="240" w:lineRule="auto"/>
              <w:ind w:left="0"/>
              <w:rPr>
                <w:sz w:val="20"/>
                <w:szCs w:val="20"/>
              </w:rPr>
            </w:pPr>
            <w:sdt>
              <w:sdtPr>
                <w:rPr>
                  <w:sz w:val="20"/>
                  <w:szCs w:val="20"/>
                </w:rPr>
                <w:id w:val="-1431961457"/>
                <w14:checkbox>
                  <w14:checked w14:val="0"/>
                  <w14:checkedState w14:val="2612" w14:font="MS Gothic"/>
                  <w14:uncheckedState w14:val="2610" w14:font="MS Gothic"/>
                </w14:checkbox>
              </w:sdtPr>
              <w:sdtEndPr/>
              <w:sdtContent>
                <w:r w:rsidR="009F141A">
                  <w:rPr>
                    <w:rFonts w:ascii="MS Gothic" w:eastAsia="MS Gothic" w:hAnsi="MS Gothic" w:hint="eastAsia"/>
                    <w:sz w:val="20"/>
                    <w:szCs w:val="20"/>
                  </w:rPr>
                  <w:t>☐</w:t>
                </w:r>
              </w:sdtContent>
            </w:sdt>
            <w:r w:rsidR="00411B69" w:rsidRPr="00C56F7D">
              <w:rPr>
                <w:sz w:val="20"/>
                <w:szCs w:val="20"/>
              </w:rPr>
              <w:t xml:space="preserve"> </w:t>
            </w:r>
            <w:r w:rsidR="00701452" w:rsidRPr="00C56F7D">
              <w:rPr>
                <w:b/>
                <w:sz w:val="20"/>
                <w:szCs w:val="20"/>
                <w:u w:val="single"/>
              </w:rPr>
              <w:t>Not</w:t>
            </w:r>
            <w:r w:rsidR="00701452" w:rsidRPr="00C56F7D">
              <w:rPr>
                <w:sz w:val="20"/>
                <w:szCs w:val="20"/>
              </w:rPr>
              <w:t xml:space="preserve"> Rapid Response </w:t>
            </w:r>
          </w:p>
        </w:tc>
        <w:tc>
          <w:tcPr>
            <w:tcW w:w="3915" w:type="dxa"/>
            <w:vAlign w:val="center"/>
          </w:tcPr>
          <w:p w:rsidR="00701452" w:rsidRPr="00C56F7D" w:rsidRDefault="00701452" w:rsidP="00104953">
            <w:pPr>
              <w:pStyle w:val="ColorfulList-Accent11"/>
              <w:spacing w:after="0" w:line="240" w:lineRule="auto"/>
              <w:ind w:left="0"/>
              <w:rPr>
                <w:sz w:val="20"/>
                <w:szCs w:val="20"/>
              </w:rPr>
            </w:pPr>
            <w:r w:rsidRPr="00C56F7D">
              <w:rPr>
                <w:sz w:val="20"/>
                <w:szCs w:val="20"/>
              </w:rPr>
              <w:t xml:space="preserve">  </w:t>
            </w:r>
            <w:sdt>
              <w:sdtPr>
                <w:rPr>
                  <w:sz w:val="20"/>
                  <w:szCs w:val="20"/>
                </w:rPr>
                <w:id w:val="-1454474560"/>
                <w14:checkbox>
                  <w14:checked w14:val="1"/>
                  <w14:checkedState w14:val="2612" w14:font="MS Gothic"/>
                  <w14:uncheckedState w14:val="2610" w14:font="MS Gothic"/>
                </w14:checkbox>
              </w:sdtPr>
              <w:sdtEndPr/>
              <w:sdtContent>
                <w:r w:rsidR="009F141A">
                  <w:rPr>
                    <w:rFonts w:ascii="MS Gothic" w:eastAsia="MS Gothic" w:hAnsi="MS Gothic" w:hint="eastAsia"/>
                    <w:sz w:val="20"/>
                    <w:szCs w:val="20"/>
                  </w:rPr>
                  <w:t>☒</w:t>
                </w:r>
              </w:sdtContent>
            </w:sdt>
            <w:r w:rsidR="00411B69" w:rsidRPr="00C56F7D">
              <w:rPr>
                <w:sz w:val="20"/>
                <w:szCs w:val="20"/>
              </w:rPr>
              <w:t xml:space="preserve"> </w:t>
            </w:r>
            <w:r w:rsidRPr="00C56F7D">
              <w:rPr>
                <w:sz w:val="20"/>
                <w:szCs w:val="20"/>
              </w:rPr>
              <w:t xml:space="preserve">Rapid Response </w:t>
            </w:r>
            <w:r w:rsidR="00411B69" w:rsidRPr="00C56F7D">
              <w:rPr>
                <w:bCs/>
                <w:i/>
                <w:color w:val="262626"/>
                <w:sz w:val="16"/>
                <w:szCs w:val="16"/>
              </w:rPr>
              <w:t xml:space="preserve">(See procedure on </w:t>
            </w:r>
            <w:hyperlink r:id="rId10" w:history="1">
              <w:r w:rsidR="00411B69" w:rsidRPr="00C56F7D">
                <w:rPr>
                  <w:rStyle w:val="Hyperlink"/>
                  <w:bCs/>
                  <w:i/>
                  <w:sz w:val="16"/>
                  <w:szCs w:val="16"/>
                </w:rPr>
                <w:t>KARL</w:t>
              </w:r>
            </w:hyperlink>
            <w:r w:rsidR="00411B69" w:rsidRPr="00C56F7D">
              <w:rPr>
                <w:bCs/>
                <w:i/>
                <w:color w:val="262626"/>
                <w:sz w:val="16"/>
                <w:szCs w:val="16"/>
              </w:rPr>
              <w:t>)</w:t>
            </w:r>
          </w:p>
        </w:tc>
      </w:tr>
      <w:tr w:rsidR="00701452" w:rsidRPr="00C56F7D" w:rsidTr="009F5FDF">
        <w:trPr>
          <w:trHeight w:val="287"/>
        </w:trPr>
        <w:tc>
          <w:tcPr>
            <w:tcW w:w="2070" w:type="dxa"/>
            <w:vMerge w:val="restart"/>
            <w:tcMar>
              <w:top w:w="0" w:type="dxa"/>
              <w:left w:w="108" w:type="dxa"/>
              <w:bottom w:w="0" w:type="dxa"/>
              <w:right w:w="108" w:type="dxa"/>
            </w:tcMar>
          </w:tcPr>
          <w:p w:rsidR="00701452" w:rsidRPr="00C56F7D" w:rsidRDefault="00701452" w:rsidP="00104953">
            <w:pPr>
              <w:spacing w:after="0"/>
              <w:rPr>
                <w:b/>
                <w:bCs/>
                <w:color w:val="262626"/>
              </w:rPr>
            </w:pPr>
            <w:r w:rsidRPr="00C56F7D">
              <w:rPr>
                <w:b/>
                <w:bCs/>
                <w:color w:val="262626"/>
              </w:rPr>
              <w:t xml:space="preserve">If approved, </w:t>
            </w:r>
            <w:r w:rsidR="00B569C2" w:rsidRPr="00C56F7D">
              <w:rPr>
                <w:b/>
                <w:bCs/>
                <w:color w:val="262626"/>
              </w:rPr>
              <w:t>where</w:t>
            </w:r>
            <w:r w:rsidRPr="00C56F7D">
              <w:rPr>
                <w:b/>
                <w:bCs/>
                <w:color w:val="262626"/>
              </w:rPr>
              <w:t xml:space="preserve"> </w:t>
            </w:r>
            <w:r w:rsidR="00411B69" w:rsidRPr="00C56F7D">
              <w:rPr>
                <w:b/>
                <w:bCs/>
                <w:color w:val="262626"/>
              </w:rPr>
              <w:lastRenderedPageBreak/>
              <w:t xml:space="preserve">to allocate the </w:t>
            </w:r>
            <w:r w:rsidRPr="00C56F7D">
              <w:rPr>
                <w:b/>
                <w:bCs/>
                <w:color w:val="262626"/>
              </w:rPr>
              <w:t xml:space="preserve">budget? </w:t>
            </w:r>
          </w:p>
          <w:p w:rsidR="00701452" w:rsidRPr="00C56F7D" w:rsidRDefault="00701452" w:rsidP="00104953">
            <w:pPr>
              <w:spacing w:after="0"/>
              <w:rPr>
                <w:b/>
                <w:bCs/>
                <w:color w:val="262626"/>
              </w:rPr>
            </w:pPr>
            <w:r w:rsidRPr="00C56F7D">
              <w:rPr>
                <w:bCs/>
                <w:i/>
                <w:color w:val="262626"/>
                <w:sz w:val="16"/>
                <w:szCs w:val="16"/>
              </w:rPr>
              <w:t>(If the budget is split between multiple programs, please copy/paste this section as needed.)</w:t>
            </w:r>
          </w:p>
        </w:tc>
        <w:tc>
          <w:tcPr>
            <w:tcW w:w="4005" w:type="dxa"/>
            <w:gridSpan w:val="2"/>
            <w:tcMar>
              <w:top w:w="0" w:type="dxa"/>
              <w:left w:w="108" w:type="dxa"/>
              <w:bottom w:w="0" w:type="dxa"/>
              <w:right w:w="108" w:type="dxa"/>
            </w:tcMar>
          </w:tcPr>
          <w:p w:rsidR="00701452" w:rsidRPr="00C56F7D" w:rsidRDefault="00701452" w:rsidP="00104953">
            <w:pPr>
              <w:pStyle w:val="ColorfulList-Accent11"/>
              <w:spacing w:after="0" w:line="240" w:lineRule="auto"/>
              <w:ind w:left="0"/>
              <w:rPr>
                <w:sz w:val="20"/>
                <w:szCs w:val="20"/>
              </w:rPr>
            </w:pPr>
            <w:r w:rsidRPr="00C56F7D">
              <w:rPr>
                <w:sz w:val="20"/>
                <w:szCs w:val="20"/>
              </w:rPr>
              <w:lastRenderedPageBreak/>
              <w:t>Amount</w:t>
            </w:r>
          </w:p>
        </w:tc>
        <w:tc>
          <w:tcPr>
            <w:tcW w:w="3915" w:type="dxa"/>
          </w:tcPr>
          <w:p w:rsidR="00701452" w:rsidRPr="00C56F7D" w:rsidRDefault="00B16376" w:rsidP="009F141A">
            <w:pPr>
              <w:pStyle w:val="ColorfulList-Accent11"/>
              <w:spacing w:after="0" w:line="240" w:lineRule="auto"/>
              <w:rPr>
                <w:sz w:val="20"/>
                <w:szCs w:val="20"/>
              </w:rPr>
            </w:pPr>
            <w:r w:rsidRPr="00C56F7D">
              <w:rPr>
                <w:color w:val="262626"/>
                <w:sz w:val="20"/>
                <w:szCs w:val="20"/>
              </w:rPr>
              <w:t>$</w:t>
            </w:r>
            <w:r w:rsidR="009F141A">
              <w:rPr>
                <w:color w:val="262626"/>
                <w:sz w:val="20"/>
                <w:szCs w:val="20"/>
              </w:rPr>
              <w:t>1,500,000</w:t>
            </w:r>
          </w:p>
        </w:tc>
      </w:tr>
      <w:tr w:rsidR="00701452" w:rsidRPr="00C56F7D" w:rsidTr="009F5FDF">
        <w:trPr>
          <w:trHeight w:val="288"/>
        </w:trPr>
        <w:tc>
          <w:tcPr>
            <w:tcW w:w="2070" w:type="dxa"/>
            <w:vMerge/>
            <w:tcMar>
              <w:top w:w="0" w:type="dxa"/>
              <w:left w:w="108" w:type="dxa"/>
              <w:bottom w:w="0" w:type="dxa"/>
              <w:right w:w="108" w:type="dxa"/>
            </w:tcMar>
          </w:tcPr>
          <w:p w:rsidR="00701452" w:rsidRPr="00C56F7D" w:rsidRDefault="00701452" w:rsidP="00104953">
            <w:pPr>
              <w:spacing w:after="0"/>
              <w:rPr>
                <w:b/>
                <w:bCs/>
                <w:color w:val="262626"/>
              </w:rPr>
            </w:pPr>
          </w:p>
        </w:tc>
        <w:tc>
          <w:tcPr>
            <w:tcW w:w="4005" w:type="dxa"/>
            <w:gridSpan w:val="2"/>
            <w:tcMar>
              <w:top w:w="0" w:type="dxa"/>
              <w:left w:w="108" w:type="dxa"/>
              <w:bottom w:w="0" w:type="dxa"/>
              <w:right w:w="108" w:type="dxa"/>
            </w:tcMar>
          </w:tcPr>
          <w:p w:rsidR="00701452" w:rsidRPr="00C56F7D" w:rsidRDefault="00701452" w:rsidP="00104953">
            <w:pPr>
              <w:pStyle w:val="ColorfulList-Accent11"/>
              <w:spacing w:after="0" w:line="240" w:lineRule="auto"/>
              <w:ind w:left="0"/>
              <w:rPr>
                <w:sz w:val="20"/>
                <w:szCs w:val="20"/>
              </w:rPr>
            </w:pPr>
            <w:r w:rsidRPr="00C56F7D">
              <w:rPr>
                <w:sz w:val="20"/>
                <w:szCs w:val="20"/>
              </w:rPr>
              <w:t>Category of Work</w:t>
            </w:r>
          </w:p>
        </w:tc>
        <w:tc>
          <w:tcPr>
            <w:tcW w:w="3915" w:type="dxa"/>
          </w:tcPr>
          <w:p w:rsidR="00701452" w:rsidRPr="00C56F7D" w:rsidRDefault="003030E4" w:rsidP="00104953">
            <w:pPr>
              <w:pStyle w:val="ColorfulList-Accent11"/>
              <w:spacing w:after="0" w:line="240" w:lineRule="auto"/>
              <w:rPr>
                <w:sz w:val="20"/>
                <w:szCs w:val="20"/>
              </w:rPr>
            </w:pPr>
            <w:r>
              <w:rPr>
                <w:sz w:val="20"/>
                <w:szCs w:val="20"/>
              </w:rPr>
              <w:t>CDC021</w:t>
            </w:r>
          </w:p>
        </w:tc>
      </w:tr>
      <w:tr w:rsidR="00701452" w:rsidRPr="00C56F7D" w:rsidTr="009F5FDF">
        <w:trPr>
          <w:trHeight w:val="287"/>
        </w:trPr>
        <w:tc>
          <w:tcPr>
            <w:tcW w:w="2070" w:type="dxa"/>
            <w:vMerge/>
            <w:tcMar>
              <w:top w:w="0" w:type="dxa"/>
              <w:left w:w="108" w:type="dxa"/>
              <w:bottom w:w="0" w:type="dxa"/>
              <w:right w:w="108" w:type="dxa"/>
            </w:tcMar>
          </w:tcPr>
          <w:p w:rsidR="00701452" w:rsidRPr="00C56F7D" w:rsidRDefault="00701452" w:rsidP="00104953">
            <w:pPr>
              <w:spacing w:after="0"/>
              <w:rPr>
                <w:b/>
                <w:bCs/>
                <w:color w:val="262626"/>
              </w:rPr>
            </w:pPr>
          </w:p>
        </w:tc>
        <w:tc>
          <w:tcPr>
            <w:tcW w:w="4005" w:type="dxa"/>
            <w:gridSpan w:val="2"/>
            <w:tcMar>
              <w:top w:w="0" w:type="dxa"/>
              <w:left w:w="108" w:type="dxa"/>
              <w:bottom w:w="0" w:type="dxa"/>
              <w:right w:w="108" w:type="dxa"/>
            </w:tcMar>
          </w:tcPr>
          <w:p w:rsidR="00701452" w:rsidRPr="00C56F7D" w:rsidRDefault="00701452" w:rsidP="00104953">
            <w:pPr>
              <w:pStyle w:val="ColorfulList-Accent11"/>
              <w:spacing w:after="0" w:line="240" w:lineRule="auto"/>
              <w:ind w:left="0"/>
              <w:rPr>
                <w:sz w:val="20"/>
                <w:szCs w:val="20"/>
              </w:rPr>
            </w:pPr>
            <w:r w:rsidRPr="00C56F7D">
              <w:rPr>
                <w:sz w:val="20"/>
                <w:szCs w:val="20"/>
              </w:rPr>
              <w:t>Division/Program Code</w:t>
            </w:r>
          </w:p>
        </w:tc>
        <w:tc>
          <w:tcPr>
            <w:tcW w:w="3915" w:type="dxa"/>
          </w:tcPr>
          <w:p w:rsidR="00701452" w:rsidRPr="00C56F7D" w:rsidRDefault="003030E4" w:rsidP="00104953">
            <w:pPr>
              <w:pStyle w:val="ColorfulList-Accent11"/>
              <w:spacing w:after="0" w:line="240" w:lineRule="auto"/>
              <w:rPr>
                <w:sz w:val="20"/>
                <w:szCs w:val="20"/>
              </w:rPr>
            </w:pPr>
            <w:r>
              <w:rPr>
                <w:sz w:val="20"/>
                <w:szCs w:val="20"/>
              </w:rPr>
              <w:t>52110</w:t>
            </w:r>
          </w:p>
        </w:tc>
      </w:tr>
      <w:tr w:rsidR="00701452" w:rsidRPr="00C56F7D" w:rsidTr="009F5FDF">
        <w:trPr>
          <w:trHeight w:val="288"/>
        </w:trPr>
        <w:tc>
          <w:tcPr>
            <w:tcW w:w="2070" w:type="dxa"/>
            <w:vMerge/>
            <w:tcMar>
              <w:top w:w="0" w:type="dxa"/>
              <w:left w:w="108" w:type="dxa"/>
              <w:bottom w:w="0" w:type="dxa"/>
              <w:right w:w="108" w:type="dxa"/>
            </w:tcMar>
          </w:tcPr>
          <w:p w:rsidR="00701452" w:rsidRPr="00C56F7D" w:rsidRDefault="00701452" w:rsidP="00104953">
            <w:pPr>
              <w:spacing w:after="0"/>
              <w:rPr>
                <w:b/>
                <w:bCs/>
                <w:color w:val="262626"/>
              </w:rPr>
            </w:pPr>
          </w:p>
        </w:tc>
        <w:tc>
          <w:tcPr>
            <w:tcW w:w="4005" w:type="dxa"/>
            <w:gridSpan w:val="2"/>
            <w:tcMar>
              <w:top w:w="0" w:type="dxa"/>
              <w:left w:w="108" w:type="dxa"/>
              <w:bottom w:w="0" w:type="dxa"/>
              <w:right w:w="108" w:type="dxa"/>
            </w:tcMar>
          </w:tcPr>
          <w:p w:rsidR="00701452" w:rsidRPr="00C56F7D" w:rsidRDefault="00701452" w:rsidP="00104953">
            <w:pPr>
              <w:pStyle w:val="ColorfulList-Accent11"/>
              <w:spacing w:after="0" w:line="240" w:lineRule="auto"/>
              <w:ind w:left="0"/>
              <w:rPr>
                <w:sz w:val="20"/>
                <w:szCs w:val="20"/>
              </w:rPr>
            </w:pPr>
            <w:r w:rsidRPr="00C56F7D">
              <w:rPr>
                <w:sz w:val="20"/>
                <w:szCs w:val="20"/>
              </w:rPr>
              <w:t xml:space="preserve">Entity </w:t>
            </w:r>
            <w:r w:rsidRPr="00C56F7D">
              <w:rPr>
                <w:i/>
                <w:sz w:val="20"/>
                <w:szCs w:val="20"/>
              </w:rPr>
              <w:t>(i.e., FPOS, ZUG)</w:t>
            </w:r>
          </w:p>
        </w:tc>
        <w:tc>
          <w:tcPr>
            <w:tcW w:w="3915" w:type="dxa"/>
          </w:tcPr>
          <w:p w:rsidR="00701452" w:rsidRPr="00C56F7D" w:rsidRDefault="003030E4" w:rsidP="00104953">
            <w:pPr>
              <w:pStyle w:val="ColorfulList-Accent11"/>
              <w:spacing w:after="0" w:line="240" w:lineRule="auto"/>
              <w:rPr>
                <w:sz w:val="20"/>
                <w:szCs w:val="20"/>
              </w:rPr>
            </w:pPr>
            <w:r>
              <w:rPr>
                <w:sz w:val="20"/>
                <w:szCs w:val="20"/>
              </w:rPr>
              <w:t>OSPC (FPR)</w:t>
            </w:r>
          </w:p>
        </w:tc>
      </w:tr>
      <w:tr w:rsidR="00701452" w:rsidRPr="00C56F7D" w:rsidTr="009F5FDF">
        <w:trPr>
          <w:trHeight w:val="287"/>
        </w:trPr>
        <w:tc>
          <w:tcPr>
            <w:tcW w:w="2070" w:type="dxa"/>
            <w:vMerge/>
            <w:tcMar>
              <w:top w:w="0" w:type="dxa"/>
              <w:left w:w="108" w:type="dxa"/>
              <w:bottom w:w="0" w:type="dxa"/>
              <w:right w:w="108" w:type="dxa"/>
            </w:tcMar>
          </w:tcPr>
          <w:p w:rsidR="00701452" w:rsidRPr="00C56F7D" w:rsidRDefault="00701452" w:rsidP="00104953">
            <w:pPr>
              <w:spacing w:after="0"/>
              <w:rPr>
                <w:b/>
                <w:bCs/>
                <w:color w:val="262626"/>
              </w:rPr>
            </w:pPr>
          </w:p>
        </w:tc>
        <w:tc>
          <w:tcPr>
            <w:tcW w:w="4005" w:type="dxa"/>
            <w:gridSpan w:val="2"/>
            <w:tcMar>
              <w:top w:w="0" w:type="dxa"/>
              <w:left w:w="108" w:type="dxa"/>
              <w:bottom w:w="0" w:type="dxa"/>
              <w:right w:w="108" w:type="dxa"/>
            </w:tcMar>
          </w:tcPr>
          <w:p w:rsidR="00701452" w:rsidRPr="00C56F7D" w:rsidRDefault="00701452" w:rsidP="00104953">
            <w:pPr>
              <w:pStyle w:val="ColorfulList-Accent11"/>
              <w:spacing w:after="0" w:line="240" w:lineRule="auto"/>
              <w:ind w:left="0"/>
              <w:rPr>
                <w:sz w:val="20"/>
                <w:szCs w:val="20"/>
              </w:rPr>
            </w:pPr>
            <w:r w:rsidRPr="00C56F7D">
              <w:rPr>
                <w:sz w:val="20"/>
                <w:szCs w:val="20"/>
              </w:rPr>
              <w:t xml:space="preserve">Fund Class </w:t>
            </w:r>
            <w:r w:rsidRPr="00C56F7D">
              <w:rPr>
                <w:i/>
                <w:sz w:val="20"/>
                <w:szCs w:val="20"/>
              </w:rPr>
              <w:t>(i.e., Lobbying/Non-Lobbying)</w:t>
            </w:r>
          </w:p>
        </w:tc>
        <w:tc>
          <w:tcPr>
            <w:tcW w:w="3915" w:type="dxa"/>
          </w:tcPr>
          <w:p w:rsidR="00701452" w:rsidRPr="00C56F7D" w:rsidRDefault="009F141A" w:rsidP="00104953">
            <w:pPr>
              <w:pStyle w:val="ColorfulList-Accent11"/>
              <w:spacing w:after="0" w:line="240" w:lineRule="auto"/>
              <w:rPr>
                <w:sz w:val="20"/>
                <w:szCs w:val="20"/>
              </w:rPr>
            </w:pPr>
            <w:r>
              <w:rPr>
                <w:sz w:val="20"/>
                <w:szCs w:val="20"/>
              </w:rPr>
              <w:t>L</w:t>
            </w:r>
            <w:r w:rsidR="00B16376" w:rsidRPr="00C56F7D">
              <w:rPr>
                <w:sz w:val="20"/>
                <w:szCs w:val="20"/>
              </w:rPr>
              <w:t>obbying</w:t>
            </w:r>
          </w:p>
        </w:tc>
      </w:tr>
      <w:tr w:rsidR="00701452" w:rsidRPr="00C56F7D" w:rsidTr="009F5FDF">
        <w:trPr>
          <w:trHeight w:val="288"/>
        </w:trPr>
        <w:tc>
          <w:tcPr>
            <w:tcW w:w="2070" w:type="dxa"/>
            <w:vMerge/>
            <w:tcMar>
              <w:top w:w="0" w:type="dxa"/>
              <w:left w:w="108" w:type="dxa"/>
              <w:bottom w:w="0" w:type="dxa"/>
              <w:right w:w="108" w:type="dxa"/>
            </w:tcMar>
          </w:tcPr>
          <w:p w:rsidR="00701452" w:rsidRPr="00C56F7D" w:rsidRDefault="00701452" w:rsidP="00104953">
            <w:pPr>
              <w:spacing w:after="0"/>
              <w:rPr>
                <w:b/>
                <w:bCs/>
                <w:color w:val="262626"/>
              </w:rPr>
            </w:pPr>
          </w:p>
        </w:tc>
        <w:tc>
          <w:tcPr>
            <w:tcW w:w="4005" w:type="dxa"/>
            <w:gridSpan w:val="2"/>
            <w:tcMar>
              <w:top w:w="0" w:type="dxa"/>
              <w:left w:w="108" w:type="dxa"/>
              <w:bottom w:w="0" w:type="dxa"/>
              <w:right w:w="108" w:type="dxa"/>
            </w:tcMar>
          </w:tcPr>
          <w:p w:rsidR="00701452" w:rsidRPr="00C56F7D" w:rsidRDefault="00701452" w:rsidP="00104953">
            <w:pPr>
              <w:pStyle w:val="ColorfulList-Accent11"/>
              <w:spacing w:after="0" w:line="240" w:lineRule="auto"/>
              <w:ind w:left="0"/>
              <w:rPr>
                <w:sz w:val="20"/>
                <w:szCs w:val="20"/>
              </w:rPr>
            </w:pPr>
            <w:r w:rsidRPr="00C56F7D">
              <w:rPr>
                <w:sz w:val="20"/>
                <w:szCs w:val="20"/>
              </w:rPr>
              <w:t xml:space="preserve">Geography </w:t>
            </w:r>
            <w:r w:rsidRPr="00C56F7D">
              <w:rPr>
                <w:i/>
                <w:sz w:val="20"/>
                <w:szCs w:val="20"/>
              </w:rPr>
              <w:t>(of benefit)</w:t>
            </w:r>
          </w:p>
        </w:tc>
        <w:tc>
          <w:tcPr>
            <w:tcW w:w="3915" w:type="dxa"/>
          </w:tcPr>
          <w:p w:rsidR="00701452" w:rsidRPr="00C56F7D" w:rsidRDefault="00B16376" w:rsidP="00104953">
            <w:pPr>
              <w:pStyle w:val="ColorfulList-Accent11"/>
              <w:spacing w:after="0" w:line="240" w:lineRule="auto"/>
              <w:rPr>
                <w:sz w:val="20"/>
                <w:szCs w:val="20"/>
              </w:rPr>
            </w:pPr>
            <w:r w:rsidRPr="00C56F7D">
              <w:rPr>
                <w:sz w:val="20"/>
                <w:szCs w:val="20"/>
              </w:rPr>
              <w:t>United States</w:t>
            </w:r>
          </w:p>
        </w:tc>
      </w:tr>
    </w:tbl>
    <w:p w:rsidR="00701452" w:rsidRPr="00C56F7D" w:rsidRDefault="00701452" w:rsidP="00104953"/>
    <w:sectPr w:rsidR="00701452" w:rsidRPr="00C56F7D" w:rsidSect="00DA5D6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DE9" w:rsidRDefault="00B57DE9" w:rsidP="006E72C5">
      <w:pPr>
        <w:spacing w:after="0" w:line="240" w:lineRule="auto"/>
      </w:pPr>
      <w:r>
        <w:separator/>
      </w:r>
    </w:p>
  </w:endnote>
  <w:endnote w:type="continuationSeparator" w:id="0">
    <w:p w:rsidR="00B57DE9" w:rsidRDefault="00B57DE9" w:rsidP="006E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DE9" w:rsidRDefault="00B57DE9" w:rsidP="006E72C5">
      <w:pPr>
        <w:spacing w:after="0" w:line="240" w:lineRule="auto"/>
      </w:pPr>
      <w:r>
        <w:separator/>
      </w:r>
    </w:p>
  </w:footnote>
  <w:footnote w:type="continuationSeparator" w:id="0">
    <w:p w:rsidR="00B57DE9" w:rsidRDefault="00B57DE9" w:rsidP="006E72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55B"/>
    <w:multiLevelType w:val="hybridMultilevel"/>
    <w:tmpl w:val="45506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B942EE"/>
    <w:multiLevelType w:val="hybridMultilevel"/>
    <w:tmpl w:val="D9C03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A415CBC"/>
    <w:multiLevelType w:val="hybridMultilevel"/>
    <w:tmpl w:val="DDC8F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9B5514"/>
    <w:multiLevelType w:val="hybridMultilevel"/>
    <w:tmpl w:val="A1E0BF68"/>
    <w:lvl w:ilvl="0" w:tplc="26004BA6">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06E39E5"/>
    <w:multiLevelType w:val="hybridMultilevel"/>
    <w:tmpl w:val="70AE6374"/>
    <w:lvl w:ilvl="0" w:tplc="4D0C3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D57B0"/>
    <w:multiLevelType w:val="hybridMultilevel"/>
    <w:tmpl w:val="664628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B2923A7"/>
    <w:multiLevelType w:val="hybridMultilevel"/>
    <w:tmpl w:val="135A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130CE"/>
    <w:multiLevelType w:val="hybridMultilevel"/>
    <w:tmpl w:val="F81CCE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EEE79C4"/>
    <w:multiLevelType w:val="hybridMultilevel"/>
    <w:tmpl w:val="71984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78442A94"/>
    <w:multiLevelType w:val="hybridMultilevel"/>
    <w:tmpl w:val="43BAA0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5"/>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45F"/>
    <w:rsid w:val="000E30AC"/>
    <w:rsid w:val="000F10A2"/>
    <w:rsid w:val="00100871"/>
    <w:rsid w:val="00104953"/>
    <w:rsid w:val="00164F54"/>
    <w:rsid w:val="00177042"/>
    <w:rsid w:val="00277B43"/>
    <w:rsid w:val="002A4514"/>
    <w:rsid w:val="002D7BBC"/>
    <w:rsid w:val="003025E2"/>
    <w:rsid w:val="003030E4"/>
    <w:rsid w:val="003036EA"/>
    <w:rsid w:val="00334CD3"/>
    <w:rsid w:val="00385BFE"/>
    <w:rsid w:val="0039421E"/>
    <w:rsid w:val="003C10CF"/>
    <w:rsid w:val="003C3EB8"/>
    <w:rsid w:val="003D3B04"/>
    <w:rsid w:val="003E424D"/>
    <w:rsid w:val="00406F3A"/>
    <w:rsid w:val="004110BD"/>
    <w:rsid w:val="00411B69"/>
    <w:rsid w:val="0042545F"/>
    <w:rsid w:val="00454E0D"/>
    <w:rsid w:val="004618F7"/>
    <w:rsid w:val="004A1863"/>
    <w:rsid w:val="004A3264"/>
    <w:rsid w:val="005005DB"/>
    <w:rsid w:val="00501EDF"/>
    <w:rsid w:val="00535E3E"/>
    <w:rsid w:val="005428D5"/>
    <w:rsid w:val="005C4853"/>
    <w:rsid w:val="005D0630"/>
    <w:rsid w:val="005E0ECA"/>
    <w:rsid w:val="005E6CBF"/>
    <w:rsid w:val="006512F6"/>
    <w:rsid w:val="00657820"/>
    <w:rsid w:val="0066099E"/>
    <w:rsid w:val="006D412C"/>
    <w:rsid w:val="006E3392"/>
    <w:rsid w:val="006E72C5"/>
    <w:rsid w:val="006F444C"/>
    <w:rsid w:val="006F63A7"/>
    <w:rsid w:val="00701452"/>
    <w:rsid w:val="00730865"/>
    <w:rsid w:val="00730A31"/>
    <w:rsid w:val="00762C16"/>
    <w:rsid w:val="007858FB"/>
    <w:rsid w:val="0078699B"/>
    <w:rsid w:val="00804C6C"/>
    <w:rsid w:val="008727EC"/>
    <w:rsid w:val="00893947"/>
    <w:rsid w:val="008B5CDE"/>
    <w:rsid w:val="00915B28"/>
    <w:rsid w:val="009A503B"/>
    <w:rsid w:val="009A61A4"/>
    <w:rsid w:val="009E2573"/>
    <w:rsid w:val="009F141A"/>
    <w:rsid w:val="009F502D"/>
    <w:rsid w:val="009F5FDF"/>
    <w:rsid w:val="00A85890"/>
    <w:rsid w:val="00AB58BA"/>
    <w:rsid w:val="00AC7D58"/>
    <w:rsid w:val="00AD6D6B"/>
    <w:rsid w:val="00B120B1"/>
    <w:rsid w:val="00B12552"/>
    <w:rsid w:val="00B16376"/>
    <w:rsid w:val="00B56579"/>
    <w:rsid w:val="00B569C2"/>
    <w:rsid w:val="00B57DE9"/>
    <w:rsid w:val="00B76E0F"/>
    <w:rsid w:val="00B8043E"/>
    <w:rsid w:val="00BA405F"/>
    <w:rsid w:val="00C56F7D"/>
    <w:rsid w:val="00C75EF4"/>
    <w:rsid w:val="00C967F5"/>
    <w:rsid w:val="00CB344B"/>
    <w:rsid w:val="00CC3A09"/>
    <w:rsid w:val="00CE3296"/>
    <w:rsid w:val="00CF2E53"/>
    <w:rsid w:val="00D44590"/>
    <w:rsid w:val="00D44775"/>
    <w:rsid w:val="00D51EA4"/>
    <w:rsid w:val="00D83311"/>
    <w:rsid w:val="00DA13D2"/>
    <w:rsid w:val="00DA33B3"/>
    <w:rsid w:val="00DA5D66"/>
    <w:rsid w:val="00DB382C"/>
    <w:rsid w:val="00E26FDC"/>
    <w:rsid w:val="00E5642E"/>
    <w:rsid w:val="00EA7C56"/>
    <w:rsid w:val="00ED7EB9"/>
    <w:rsid w:val="00EE5B95"/>
    <w:rsid w:val="00F7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5F"/>
    <w:pPr>
      <w:spacing w:after="0" w:line="240" w:lineRule="auto"/>
      <w:ind w:left="720"/>
    </w:pPr>
    <w:rPr>
      <w:rFonts w:ascii="Calibri" w:hAnsi="Calibri" w:cs="Times New Roman"/>
    </w:rPr>
  </w:style>
  <w:style w:type="paragraph" w:customStyle="1" w:styleId="ColorfulList-Accent11">
    <w:name w:val="Colorful List - Accent 11"/>
    <w:basedOn w:val="Normal"/>
    <w:uiPriority w:val="34"/>
    <w:rsid w:val="0042545F"/>
    <w:pPr>
      <w:ind w:left="720"/>
      <w:contextualSpacing/>
    </w:pPr>
    <w:rPr>
      <w:rFonts w:ascii="Calibri" w:hAnsi="Calibri" w:cs="Times New Roman"/>
    </w:rPr>
  </w:style>
  <w:style w:type="character" w:styleId="PlaceholderText">
    <w:name w:val="Placeholder Text"/>
    <w:basedOn w:val="DefaultParagraphFont"/>
    <w:uiPriority w:val="99"/>
    <w:semiHidden/>
    <w:rsid w:val="0078699B"/>
    <w:rPr>
      <w:color w:val="808080"/>
    </w:rPr>
  </w:style>
  <w:style w:type="paragraph" w:styleId="BalloonText">
    <w:name w:val="Balloon Text"/>
    <w:basedOn w:val="Normal"/>
    <w:link w:val="BalloonTextChar"/>
    <w:uiPriority w:val="99"/>
    <w:semiHidden/>
    <w:unhideWhenUsed/>
    <w:rsid w:val="0078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9B"/>
    <w:rPr>
      <w:rFonts w:ascii="Tahoma" w:hAnsi="Tahoma" w:cs="Tahoma"/>
      <w:sz w:val="16"/>
      <w:szCs w:val="16"/>
    </w:rPr>
  </w:style>
  <w:style w:type="character" w:styleId="Hyperlink">
    <w:name w:val="Hyperlink"/>
    <w:basedOn w:val="DefaultParagraphFont"/>
    <w:uiPriority w:val="99"/>
    <w:unhideWhenUsed/>
    <w:rsid w:val="00277B43"/>
    <w:rPr>
      <w:color w:val="0000FF" w:themeColor="hyperlink"/>
      <w:u w:val="single"/>
    </w:rPr>
  </w:style>
  <w:style w:type="paragraph" w:styleId="Header">
    <w:name w:val="header"/>
    <w:basedOn w:val="Normal"/>
    <w:link w:val="HeaderChar"/>
    <w:uiPriority w:val="99"/>
    <w:unhideWhenUsed/>
    <w:rsid w:val="006E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C5"/>
  </w:style>
  <w:style w:type="paragraph" w:styleId="Footer">
    <w:name w:val="footer"/>
    <w:basedOn w:val="Normal"/>
    <w:link w:val="FooterChar"/>
    <w:uiPriority w:val="99"/>
    <w:unhideWhenUsed/>
    <w:rsid w:val="006E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C5"/>
  </w:style>
  <w:style w:type="paragraph" w:styleId="FootnoteText">
    <w:name w:val="footnote text"/>
    <w:basedOn w:val="Normal"/>
    <w:link w:val="FootnoteTextChar"/>
    <w:uiPriority w:val="99"/>
    <w:semiHidden/>
    <w:unhideWhenUsed/>
    <w:rsid w:val="00B1637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16376"/>
    <w:rPr>
      <w:rFonts w:eastAsiaTheme="minorEastAsia"/>
      <w:sz w:val="20"/>
      <w:szCs w:val="20"/>
    </w:rPr>
  </w:style>
  <w:style w:type="character" w:styleId="FootnoteReference">
    <w:name w:val="footnote reference"/>
    <w:basedOn w:val="DefaultParagraphFont"/>
    <w:uiPriority w:val="99"/>
    <w:semiHidden/>
    <w:unhideWhenUsed/>
    <w:rsid w:val="00B16376"/>
    <w:rPr>
      <w:vertAlign w:val="superscript"/>
    </w:rPr>
  </w:style>
  <w:style w:type="character" w:styleId="CommentReference">
    <w:name w:val="annotation reference"/>
    <w:basedOn w:val="DefaultParagraphFont"/>
    <w:uiPriority w:val="99"/>
    <w:semiHidden/>
    <w:unhideWhenUsed/>
    <w:rsid w:val="00C56F7D"/>
    <w:rPr>
      <w:sz w:val="16"/>
      <w:szCs w:val="16"/>
    </w:rPr>
  </w:style>
  <w:style w:type="paragraph" w:styleId="CommentText">
    <w:name w:val="annotation text"/>
    <w:basedOn w:val="Normal"/>
    <w:link w:val="CommentTextChar"/>
    <w:uiPriority w:val="99"/>
    <w:semiHidden/>
    <w:unhideWhenUsed/>
    <w:rsid w:val="00C56F7D"/>
    <w:pPr>
      <w:spacing w:line="240" w:lineRule="auto"/>
    </w:pPr>
    <w:rPr>
      <w:sz w:val="20"/>
      <w:szCs w:val="20"/>
    </w:rPr>
  </w:style>
  <w:style w:type="character" w:customStyle="1" w:styleId="CommentTextChar">
    <w:name w:val="Comment Text Char"/>
    <w:basedOn w:val="DefaultParagraphFont"/>
    <w:link w:val="CommentText"/>
    <w:uiPriority w:val="99"/>
    <w:semiHidden/>
    <w:rsid w:val="00C56F7D"/>
    <w:rPr>
      <w:sz w:val="20"/>
      <w:szCs w:val="20"/>
    </w:rPr>
  </w:style>
  <w:style w:type="paragraph" w:styleId="CommentSubject">
    <w:name w:val="annotation subject"/>
    <w:basedOn w:val="CommentText"/>
    <w:next w:val="CommentText"/>
    <w:link w:val="CommentSubjectChar"/>
    <w:uiPriority w:val="99"/>
    <w:semiHidden/>
    <w:unhideWhenUsed/>
    <w:rsid w:val="00C56F7D"/>
    <w:rPr>
      <w:b/>
      <w:bCs/>
    </w:rPr>
  </w:style>
  <w:style w:type="character" w:customStyle="1" w:styleId="CommentSubjectChar">
    <w:name w:val="Comment Subject Char"/>
    <w:basedOn w:val="CommentTextChar"/>
    <w:link w:val="CommentSubject"/>
    <w:uiPriority w:val="99"/>
    <w:semiHidden/>
    <w:rsid w:val="00C56F7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5F"/>
    <w:pPr>
      <w:spacing w:after="0" w:line="240" w:lineRule="auto"/>
      <w:ind w:left="720"/>
    </w:pPr>
    <w:rPr>
      <w:rFonts w:ascii="Calibri" w:hAnsi="Calibri" w:cs="Times New Roman"/>
    </w:rPr>
  </w:style>
  <w:style w:type="paragraph" w:customStyle="1" w:styleId="ColorfulList-Accent11">
    <w:name w:val="Colorful List - Accent 11"/>
    <w:basedOn w:val="Normal"/>
    <w:uiPriority w:val="34"/>
    <w:rsid w:val="0042545F"/>
    <w:pPr>
      <w:ind w:left="720"/>
      <w:contextualSpacing/>
    </w:pPr>
    <w:rPr>
      <w:rFonts w:ascii="Calibri" w:hAnsi="Calibri" w:cs="Times New Roman"/>
    </w:rPr>
  </w:style>
  <w:style w:type="character" w:styleId="PlaceholderText">
    <w:name w:val="Placeholder Text"/>
    <w:basedOn w:val="DefaultParagraphFont"/>
    <w:uiPriority w:val="99"/>
    <w:semiHidden/>
    <w:rsid w:val="0078699B"/>
    <w:rPr>
      <w:color w:val="808080"/>
    </w:rPr>
  </w:style>
  <w:style w:type="paragraph" w:styleId="BalloonText">
    <w:name w:val="Balloon Text"/>
    <w:basedOn w:val="Normal"/>
    <w:link w:val="BalloonTextChar"/>
    <w:uiPriority w:val="99"/>
    <w:semiHidden/>
    <w:unhideWhenUsed/>
    <w:rsid w:val="00786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9B"/>
    <w:rPr>
      <w:rFonts w:ascii="Tahoma" w:hAnsi="Tahoma" w:cs="Tahoma"/>
      <w:sz w:val="16"/>
      <w:szCs w:val="16"/>
    </w:rPr>
  </w:style>
  <w:style w:type="character" w:styleId="Hyperlink">
    <w:name w:val="Hyperlink"/>
    <w:basedOn w:val="DefaultParagraphFont"/>
    <w:uiPriority w:val="99"/>
    <w:unhideWhenUsed/>
    <w:rsid w:val="00277B43"/>
    <w:rPr>
      <w:color w:val="0000FF" w:themeColor="hyperlink"/>
      <w:u w:val="single"/>
    </w:rPr>
  </w:style>
  <w:style w:type="paragraph" w:styleId="Header">
    <w:name w:val="header"/>
    <w:basedOn w:val="Normal"/>
    <w:link w:val="HeaderChar"/>
    <w:uiPriority w:val="99"/>
    <w:unhideWhenUsed/>
    <w:rsid w:val="006E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2C5"/>
  </w:style>
  <w:style w:type="paragraph" w:styleId="Footer">
    <w:name w:val="footer"/>
    <w:basedOn w:val="Normal"/>
    <w:link w:val="FooterChar"/>
    <w:uiPriority w:val="99"/>
    <w:unhideWhenUsed/>
    <w:rsid w:val="006E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2C5"/>
  </w:style>
  <w:style w:type="paragraph" w:styleId="FootnoteText">
    <w:name w:val="footnote text"/>
    <w:basedOn w:val="Normal"/>
    <w:link w:val="FootnoteTextChar"/>
    <w:uiPriority w:val="99"/>
    <w:semiHidden/>
    <w:unhideWhenUsed/>
    <w:rsid w:val="00B16376"/>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B16376"/>
    <w:rPr>
      <w:rFonts w:eastAsiaTheme="minorEastAsia"/>
      <w:sz w:val="20"/>
      <w:szCs w:val="20"/>
    </w:rPr>
  </w:style>
  <w:style w:type="character" w:styleId="FootnoteReference">
    <w:name w:val="footnote reference"/>
    <w:basedOn w:val="DefaultParagraphFont"/>
    <w:uiPriority w:val="99"/>
    <w:semiHidden/>
    <w:unhideWhenUsed/>
    <w:rsid w:val="00B16376"/>
    <w:rPr>
      <w:vertAlign w:val="superscript"/>
    </w:rPr>
  </w:style>
  <w:style w:type="character" w:styleId="CommentReference">
    <w:name w:val="annotation reference"/>
    <w:basedOn w:val="DefaultParagraphFont"/>
    <w:uiPriority w:val="99"/>
    <w:semiHidden/>
    <w:unhideWhenUsed/>
    <w:rsid w:val="00C56F7D"/>
    <w:rPr>
      <w:sz w:val="16"/>
      <w:szCs w:val="16"/>
    </w:rPr>
  </w:style>
  <w:style w:type="paragraph" w:styleId="CommentText">
    <w:name w:val="annotation text"/>
    <w:basedOn w:val="Normal"/>
    <w:link w:val="CommentTextChar"/>
    <w:uiPriority w:val="99"/>
    <w:semiHidden/>
    <w:unhideWhenUsed/>
    <w:rsid w:val="00C56F7D"/>
    <w:pPr>
      <w:spacing w:line="240" w:lineRule="auto"/>
    </w:pPr>
    <w:rPr>
      <w:sz w:val="20"/>
      <w:szCs w:val="20"/>
    </w:rPr>
  </w:style>
  <w:style w:type="character" w:customStyle="1" w:styleId="CommentTextChar">
    <w:name w:val="Comment Text Char"/>
    <w:basedOn w:val="DefaultParagraphFont"/>
    <w:link w:val="CommentText"/>
    <w:uiPriority w:val="99"/>
    <w:semiHidden/>
    <w:rsid w:val="00C56F7D"/>
    <w:rPr>
      <w:sz w:val="20"/>
      <w:szCs w:val="20"/>
    </w:rPr>
  </w:style>
  <w:style w:type="paragraph" w:styleId="CommentSubject">
    <w:name w:val="annotation subject"/>
    <w:basedOn w:val="CommentText"/>
    <w:next w:val="CommentText"/>
    <w:link w:val="CommentSubjectChar"/>
    <w:uiPriority w:val="99"/>
    <w:semiHidden/>
    <w:unhideWhenUsed/>
    <w:rsid w:val="00C56F7D"/>
    <w:rPr>
      <w:b/>
      <w:bCs/>
    </w:rPr>
  </w:style>
  <w:style w:type="character" w:customStyle="1" w:styleId="CommentSubjectChar">
    <w:name w:val="Comment Subject Char"/>
    <w:basedOn w:val="CommentTextChar"/>
    <w:link w:val="CommentSubject"/>
    <w:uiPriority w:val="99"/>
    <w:semiHidden/>
    <w:rsid w:val="00C56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8753">
      <w:bodyDiv w:val="1"/>
      <w:marLeft w:val="0"/>
      <w:marRight w:val="0"/>
      <w:marTop w:val="0"/>
      <w:marBottom w:val="0"/>
      <w:divBdr>
        <w:top w:val="none" w:sz="0" w:space="0" w:color="auto"/>
        <w:left w:val="none" w:sz="0" w:space="0" w:color="auto"/>
        <w:bottom w:val="none" w:sz="0" w:space="0" w:color="auto"/>
        <w:right w:val="none" w:sz="0" w:space="0" w:color="auto"/>
      </w:divBdr>
    </w:div>
    <w:div w:id="628635327">
      <w:bodyDiv w:val="1"/>
      <w:marLeft w:val="0"/>
      <w:marRight w:val="0"/>
      <w:marTop w:val="0"/>
      <w:marBottom w:val="0"/>
      <w:divBdr>
        <w:top w:val="none" w:sz="0" w:space="0" w:color="auto"/>
        <w:left w:val="none" w:sz="0" w:space="0" w:color="auto"/>
        <w:bottom w:val="none" w:sz="0" w:space="0" w:color="auto"/>
        <w:right w:val="none" w:sz="0" w:space="0" w:color="auto"/>
      </w:divBdr>
    </w:div>
    <w:div w:id="1961762551">
      <w:bodyDiv w:val="1"/>
      <w:marLeft w:val="0"/>
      <w:marRight w:val="0"/>
      <w:marTop w:val="0"/>
      <w:marBottom w:val="0"/>
      <w:divBdr>
        <w:top w:val="none" w:sz="0" w:space="0" w:color="auto"/>
        <w:left w:val="none" w:sz="0" w:space="0" w:color="auto"/>
        <w:bottom w:val="none" w:sz="0" w:space="0" w:color="auto"/>
        <w:right w:val="none" w:sz="0" w:space="0" w:color="auto"/>
      </w:divBdr>
    </w:div>
    <w:div w:id="21461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84FC7-5C01-4EDE-B92D-F73A79C2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Claudine Wilson - Temp</cp:lastModifiedBy>
  <cp:revision>2</cp:revision>
  <cp:lastPrinted>2015-02-17T21:27:00Z</cp:lastPrinted>
  <dcterms:created xsi:type="dcterms:W3CDTF">2016-02-09T15:57:00Z</dcterms:created>
  <dcterms:modified xsi:type="dcterms:W3CDTF">2016-02-09T15:57:00Z</dcterms:modified>
</cp:coreProperties>
</file>