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97" w:rsidRDefault="001F7097" w:rsidP="001F7097">
      <w:pPr>
        <w:rPr>
          <w:lang w:val="fr-CH"/>
        </w:rPr>
      </w:pPr>
    </w:p>
    <w:tbl>
      <w:tblPr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594"/>
        <w:gridCol w:w="1962"/>
        <w:gridCol w:w="3661"/>
      </w:tblGrid>
      <w:tr w:rsidR="001F7097" w:rsidTr="001F7097">
        <w:trPr>
          <w:trHeight w:val="350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Proposal Title</w:t>
            </w:r>
          </w:p>
        </w:tc>
        <w:tc>
          <w:tcPr>
            <w:tcW w:w="72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>Drugs &amp; Conflict Prevention in Afghanistan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Applicant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 xml:space="preserve">Global Drug Policy Program, Open Society Afghanistan  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Reserve Fund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>MENA Reserve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Amount Requested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>$193,400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Unforeseen Need (250 words)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Several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factors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contribute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timeliness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unforeseen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nature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this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request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>. </w:t>
            </w:r>
            <w:proofErr w:type="gramStart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</w:p>
          <w:p w:rsidR="001F7097" w:rsidRDefault="001F7097">
            <w:proofErr w:type="spellStart"/>
            <w:proofErr w:type="gramEnd"/>
            <w:r>
              <w:rPr>
                <w:color w:val="262626"/>
                <w:sz w:val="20"/>
                <w:szCs w:val="20"/>
                <w:lang w:val="pt-BR"/>
              </w:rPr>
              <w:t>First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there’s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new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space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technical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inputs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sphere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In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October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government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approved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new </w:t>
            </w:r>
            <w:proofErr w:type="spellStart"/>
            <w:proofErr w:type="gramStart"/>
            <w:r>
              <w:rPr>
                <w:color w:val="262626"/>
                <w:sz w:val="20"/>
                <w:szCs w:val="20"/>
                <w:lang w:val="pt-BR"/>
              </w:rPr>
              <w:t>five</w:t>
            </w:r>
            <w:proofErr w:type="spellEnd"/>
            <w:proofErr w:type="gram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year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hyperlink r:id="rId6" w:history="1">
              <w:proofErr w:type="spellStart"/>
              <w:r>
                <w:rPr>
                  <w:rStyle w:val="Hyperlink"/>
                  <w:sz w:val="20"/>
                  <w:szCs w:val="20"/>
                  <w:lang w:val="pt-BR"/>
                </w:rPr>
                <w:t>National</w:t>
              </w:r>
              <w:proofErr w:type="spellEnd"/>
              <w:r>
                <w:rPr>
                  <w:rStyle w:val="Hyperlink"/>
                  <w:sz w:val="20"/>
                  <w:szCs w:val="20"/>
                  <w:lang w:val="pt-BR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  <w:lang w:val="pt-BR"/>
                </w:rPr>
                <w:t>Drug</w:t>
              </w:r>
              <w:proofErr w:type="spellEnd"/>
              <w:r>
                <w:rPr>
                  <w:rStyle w:val="Hyperlink"/>
                  <w:sz w:val="20"/>
                  <w:szCs w:val="20"/>
                  <w:lang w:val="pt-BR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  <w:lang w:val="pt-BR"/>
                </w:rPr>
                <w:t>Action</w:t>
              </w:r>
              <w:proofErr w:type="spellEnd"/>
              <w:r>
                <w:rPr>
                  <w:rStyle w:val="Hyperlink"/>
                  <w:sz w:val="20"/>
                  <w:szCs w:val="20"/>
                  <w:lang w:val="pt-BR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  <w:lang w:val="pt-BR"/>
                </w:rPr>
                <w:t>Plan</w:t>
              </w:r>
              <w:proofErr w:type="spellEnd"/>
              <w:r>
                <w:rPr>
                  <w:rStyle w:val="Hyperlink"/>
                  <w:sz w:val="20"/>
                  <w:szCs w:val="20"/>
                  <w:lang w:val="pt-BR"/>
                </w:rPr>
                <w:t xml:space="preserve"> (2015-2019)</w:t>
              </w:r>
            </w:hyperlink>
            <w:r>
              <w:rPr>
                <w:color w:val="262626"/>
                <w:sz w:val="20"/>
                <w:szCs w:val="20"/>
                <w:lang w:val="pt-BR"/>
              </w:rPr>
              <w:t xml:space="preserve">. The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plan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explicitly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states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need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assistance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from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civil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society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provides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immediate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framework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around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which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offer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technical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assistance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support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local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actors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implementation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  The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goals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plan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are: 1)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decreasing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opium-poppy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cultivation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; 2)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decreasing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production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trafficking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opiates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3)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reducing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domestic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demand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illicit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;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increasing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provision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treatment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users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However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space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advocacy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input,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particularly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around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goal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color w:val="262626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through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engagement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with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development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security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sectors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</w:t>
            </w:r>
          </w:p>
          <w:p w:rsidR="001F7097" w:rsidRDefault="001F7097">
            <w:r>
              <w:rPr>
                <w:color w:val="262626"/>
                <w:sz w:val="20"/>
                <w:szCs w:val="20"/>
                <w:lang w:val="pt-BR"/>
              </w:rPr>
              <w:t> </w:t>
            </w:r>
          </w:p>
          <w:p w:rsidR="001F7097" w:rsidRDefault="001F7097">
            <w:r>
              <w:rPr>
                <w:color w:val="262626"/>
                <w:sz w:val="20"/>
                <w:szCs w:val="20"/>
                <w:lang w:val="pt-BR"/>
              </w:rPr>
              <w:t xml:space="preserve">In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addition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in a </w:t>
            </w:r>
            <w:proofErr w:type="gramStart"/>
            <w:r>
              <w:rPr>
                <w:color w:val="262626"/>
                <w:sz w:val="20"/>
                <w:szCs w:val="20"/>
                <w:lang w:val="pt-BR"/>
              </w:rPr>
              <w:t>meeting</w:t>
            </w:r>
            <w:proofErr w:type="gram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between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President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Ghani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George Soros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last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year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President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Ghani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requested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OSF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assistance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regarding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Subsequent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interactions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with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President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Ghani’s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team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prioritized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other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areas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initial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OSA / OSF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attention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but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GDPP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OSA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now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feel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climate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ripe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intervention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Encouragingly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President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Ashraf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Ghani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recently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expressed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desire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move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away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from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drug-war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approach,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stating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>; “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You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cannot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carry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war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because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again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proofErr w:type="gramStart"/>
            <w:r>
              <w:rPr>
                <w:color w:val="262626"/>
                <w:sz w:val="20"/>
                <w:szCs w:val="20"/>
                <w:lang w:val="pt-BR"/>
              </w:rPr>
              <w:t>if</w:t>
            </w:r>
            <w:proofErr w:type="spellEnd"/>
            <w:proofErr w:type="gram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you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look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literature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Latin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America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Central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America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particularly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Mexico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there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are </w:t>
            </w:r>
            <w:proofErr w:type="spellStart"/>
            <w:r>
              <w:rPr>
                <w:sz w:val="20"/>
                <w:szCs w:val="20"/>
                <w:lang w:val="pt-BR"/>
              </w:rPr>
              <w:t>lessons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lesson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that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fundamental, [</w:t>
            </w:r>
            <w:proofErr w:type="spellStart"/>
            <w:r>
              <w:rPr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that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] </w:t>
            </w:r>
            <w:proofErr w:type="spellStart"/>
            <w:r>
              <w:rPr>
                <w:sz w:val="20"/>
                <w:szCs w:val="20"/>
                <w:lang w:val="pt-BR"/>
              </w:rPr>
              <w:t>those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are </w:t>
            </w:r>
            <w:proofErr w:type="spellStart"/>
            <w:r>
              <w:rPr>
                <w:sz w:val="20"/>
                <w:szCs w:val="20"/>
                <w:lang w:val="pt-BR"/>
              </w:rPr>
              <w:t>failures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.” A </w:t>
            </w:r>
            <w:proofErr w:type="spellStart"/>
            <w:r>
              <w:rPr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rethink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long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overdue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but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will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require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significant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boosts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pt-BR"/>
              </w:rPr>
              <w:t>capacity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accross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spectrum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. The </w:t>
            </w:r>
            <w:proofErr w:type="spellStart"/>
            <w:r>
              <w:rPr>
                <w:sz w:val="20"/>
                <w:szCs w:val="20"/>
                <w:lang w:val="pt-BR"/>
              </w:rPr>
              <w:t>National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Action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Plan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lays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out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broad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outlines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with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emphasis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pt-BR"/>
              </w:rPr>
              <w:t>cross-sectoral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approach, </w:t>
            </w:r>
            <w:proofErr w:type="spellStart"/>
            <w:r>
              <w:rPr>
                <w:sz w:val="20"/>
                <w:szCs w:val="20"/>
                <w:lang w:val="pt-BR"/>
              </w:rPr>
              <w:t>but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there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much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work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be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done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articulating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pt-BR"/>
              </w:rPr>
              <w:t>constructive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strategy</w:t>
            </w:r>
            <w:proofErr w:type="spellEnd"/>
            <w:r>
              <w:rPr>
                <w:sz w:val="20"/>
                <w:szCs w:val="20"/>
                <w:lang w:val="pt-BR"/>
              </w:rPr>
              <w:t>. </w:t>
            </w:r>
            <w:proofErr w:type="gramStart"/>
            <w:r>
              <w:rPr>
                <w:sz w:val="20"/>
                <w:szCs w:val="20"/>
                <w:lang w:val="pt-BR"/>
              </w:rPr>
              <w:t xml:space="preserve"> </w:t>
            </w:r>
          </w:p>
          <w:p w:rsidR="001F7097" w:rsidRDefault="001F7097">
            <w:proofErr w:type="gramEnd"/>
            <w:r>
              <w:rPr>
                <w:sz w:val="20"/>
                <w:szCs w:val="20"/>
                <w:lang w:val="pt-BR"/>
              </w:rPr>
              <w:t> </w:t>
            </w:r>
          </w:p>
          <w:p w:rsidR="001F7097" w:rsidRDefault="001F7097">
            <w:r>
              <w:rPr>
                <w:sz w:val="20"/>
                <w:szCs w:val="20"/>
                <w:lang w:val="pt-BR"/>
              </w:rPr>
              <w:t xml:space="preserve">The </w:t>
            </w:r>
            <w:proofErr w:type="spellStart"/>
            <w:r>
              <w:rPr>
                <w:sz w:val="20"/>
                <w:szCs w:val="20"/>
                <w:lang w:val="pt-BR"/>
              </w:rPr>
              <w:t>second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factor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sz w:val="20"/>
                <w:szCs w:val="20"/>
                <w:lang w:val="pt-BR"/>
              </w:rPr>
              <w:t>this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unforseen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need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pt-BR"/>
              </w:rPr>
              <w:t>concern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about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growing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Russian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influence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in regional </w:t>
            </w:r>
            <w:proofErr w:type="spellStart"/>
            <w:r>
              <w:rPr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Russians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are </w:t>
            </w:r>
            <w:proofErr w:type="spellStart"/>
            <w:r>
              <w:rPr>
                <w:sz w:val="20"/>
                <w:szCs w:val="20"/>
                <w:lang w:val="pt-BR"/>
              </w:rPr>
              <w:t>known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as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staunchest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supporters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global </w:t>
            </w:r>
            <w:proofErr w:type="spellStart"/>
            <w:r>
              <w:rPr>
                <w:sz w:val="20"/>
                <w:szCs w:val="20"/>
                <w:lang w:val="pt-BR"/>
              </w:rPr>
              <w:t>war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drugs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. A </w:t>
            </w:r>
            <w:proofErr w:type="spellStart"/>
            <w:r>
              <w:rPr>
                <w:sz w:val="20"/>
                <w:szCs w:val="20"/>
                <w:lang w:val="pt-BR"/>
              </w:rPr>
              <w:t>recent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report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indicates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that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heads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control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sz w:val="20"/>
                <w:szCs w:val="20"/>
                <w:lang w:val="pt-BR"/>
              </w:rPr>
              <w:t>Afghanistan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Russia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Pakistan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Tajikistan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Iran </w:t>
            </w:r>
            <w:proofErr w:type="spellStart"/>
            <w:r>
              <w:rPr>
                <w:sz w:val="20"/>
                <w:szCs w:val="20"/>
                <w:lang w:val="pt-BR"/>
              </w:rPr>
              <w:t>met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pt-BR"/>
              </w:rPr>
              <w:t>Tehran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October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26 </w:t>
            </w:r>
            <w:proofErr w:type="spellStart"/>
            <w:r>
              <w:rPr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develop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 common agenda for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upcoming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UN General Assembly </w:t>
            </w:r>
            <w:proofErr w:type="spellStart"/>
            <w:r>
              <w:rPr>
                <w:sz w:val="20"/>
                <w:szCs w:val="20"/>
                <w:lang w:val="pt-BR"/>
              </w:rPr>
              <w:t>Special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Session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(UNGASS) </w:t>
            </w:r>
            <w:proofErr w:type="spellStart"/>
            <w:r>
              <w:rPr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drugs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in 2016. </w:t>
            </w:r>
            <w:proofErr w:type="spellStart"/>
            <w:r>
              <w:rPr>
                <w:sz w:val="20"/>
                <w:szCs w:val="20"/>
                <w:lang w:val="pt-BR"/>
              </w:rPr>
              <w:t>Among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these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states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Russia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likely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be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dominant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force. </w:t>
            </w:r>
            <w:proofErr w:type="spellStart"/>
            <w:r>
              <w:rPr>
                <w:sz w:val="20"/>
                <w:szCs w:val="20"/>
                <w:lang w:val="pt-BR"/>
              </w:rPr>
              <w:t>This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could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result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pt-BR"/>
              </w:rPr>
              <w:t>reduced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support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sz w:val="20"/>
                <w:szCs w:val="20"/>
                <w:lang w:val="pt-BR"/>
              </w:rPr>
              <w:t>harm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reducaiton</w:t>
            </w:r>
            <w:proofErr w:type="spellEnd"/>
            <w:r>
              <w:rPr>
                <w:sz w:val="20"/>
                <w:szCs w:val="20"/>
                <w:lang w:val="pt-BR"/>
              </w:rPr>
              <w:t>, non-</w:t>
            </w:r>
            <w:proofErr w:type="spellStart"/>
            <w:r>
              <w:rPr>
                <w:sz w:val="20"/>
                <w:szCs w:val="20"/>
                <w:lang w:val="pt-BR"/>
              </w:rPr>
              <w:t>punative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measures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increased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coercive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suppression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supply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. </w:t>
            </w:r>
          </w:p>
          <w:p w:rsidR="001F7097" w:rsidRDefault="001F7097">
            <w:r>
              <w:rPr>
                <w:sz w:val="20"/>
                <w:szCs w:val="20"/>
                <w:lang w:val="pt-BR"/>
              </w:rPr>
              <w:t> </w:t>
            </w:r>
          </w:p>
          <w:p w:rsidR="001F7097" w:rsidRDefault="001F7097">
            <w:proofErr w:type="spellStart"/>
            <w:r>
              <w:rPr>
                <w:sz w:val="20"/>
                <w:szCs w:val="20"/>
                <w:lang w:val="pt-BR"/>
              </w:rPr>
              <w:t>Finally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these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debates are </w:t>
            </w:r>
            <w:proofErr w:type="spellStart"/>
            <w:r>
              <w:rPr>
                <w:sz w:val="20"/>
                <w:szCs w:val="20"/>
                <w:lang w:val="pt-BR"/>
              </w:rPr>
              <w:t>given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pt-BR"/>
              </w:rPr>
              <w:t>sense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urgency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by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  </w:t>
            </w:r>
            <w:proofErr w:type="spellStart"/>
            <w:r>
              <w:rPr>
                <w:sz w:val="20"/>
                <w:szCs w:val="20"/>
                <w:lang w:val="pt-BR"/>
              </w:rPr>
              <w:t>deteriorating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security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conditions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pt-BR"/>
              </w:rPr>
              <w:t>With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withdrawal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NATO forces </w:t>
            </w:r>
            <w:proofErr w:type="spellStart"/>
            <w:r>
              <w:rPr>
                <w:sz w:val="20"/>
                <w:szCs w:val="20"/>
                <w:lang w:val="pt-BR"/>
              </w:rPr>
              <w:t>from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Afghanistan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pt-BR"/>
              </w:rPr>
              <w:t>stabilization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efforts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are </w:t>
            </w:r>
            <w:proofErr w:type="spellStart"/>
            <w:r>
              <w:rPr>
                <w:sz w:val="20"/>
                <w:szCs w:val="20"/>
                <w:lang w:val="pt-BR"/>
              </w:rPr>
              <w:t>likely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be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undermined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by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ever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expanding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drugs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trade </w:t>
            </w:r>
            <w:proofErr w:type="spellStart"/>
            <w:r>
              <w:rPr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resulting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competition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among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pt-BR"/>
              </w:rPr>
              <w:t>plethora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local </w:t>
            </w:r>
            <w:proofErr w:type="spellStart"/>
            <w:r>
              <w:rPr>
                <w:sz w:val="20"/>
                <w:szCs w:val="20"/>
                <w:lang w:val="pt-BR"/>
              </w:rPr>
              <w:t>actors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wishing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either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control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trade </w:t>
            </w:r>
            <w:proofErr w:type="spellStart"/>
            <w:r>
              <w:rPr>
                <w:sz w:val="20"/>
                <w:szCs w:val="20"/>
                <w:lang w:val="pt-BR"/>
              </w:rPr>
              <w:t>or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use </w:t>
            </w:r>
            <w:proofErr w:type="spellStart"/>
            <w:r>
              <w:rPr>
                <w:sz w:val="20"/>
                <w:szCs w:val="20"/>
                <w:lang w:val="pt-BR"/>
              </w:rPr>
              <w:t>counter-narcotics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policies </w:t>
            </w:r>
            <w:proofErr w:type="spellStart"/>
            <w:r>
              <w:rPr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undermine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their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opponents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. </w:t>
            </w:r>
          </w:p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  <w:lang w:val="pt-BR"/>
              </w:rPr>
              <w:t> 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Activities Proposed (500 words)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help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address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lack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focus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issues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two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activities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are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proposed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First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high-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level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seminar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senior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Afghan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officials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suite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policy-relevant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publication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around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subject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“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Conflict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Prevention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in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Afghanistan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.” The workshop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publications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convened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International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Institute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Strategic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Studies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(IISS),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leading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think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tank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conflict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security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international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relations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IISS’s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Security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Development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Program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published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well-reviewed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volume, “</w:t>
            </w:r>
            <w:proofErr w:type="spellStart"/>
            <w:r>
              <w:fldChar w:fldCharType="begin"/>
            </w:r>
            <w:r>
              <w:instrText xml:space="preserve"> HYPERLINK "https://www.iiss.org/en/publications/adelphi/by%20year/2012-e76b/drugs--insecurity-and-failed-states--the-problems-of-prohibition-sh-bbb4" </w:instrText>
            </w:r>
            <w:r>
              <w:fldChar w:fldCharType="separate"/>
            </w:r>
            <w:r>
              <w:rPr>
                <w:rStyle w:val="Hyperlink"/>
                <w:sz w:val="20"/>
                <w:szCs w:val="20"/>
                <w:lang w:val="pt-BR"/>
              </w:rPr>
              <w:t>Drugs</w:t>
            </w:r>
            <w:proofErr w:type="spellEnd"/>
            <w:r>
              <w:rPr>
                <w:rStyle w:val="Hyperlink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rStyle w:val="Hyperlink"/>
                <w:sz w:val="20"/>
                <w:szCs w:val="20"/>
                <w:lang w:val="pt-BR"/>
              </w:rPr>
              <w:t>Insecurity</w:t>
            </w:r>
            <w:proofErr w:type="spellEnd"/>
            <w:r>
              <w:rPr>
                <w:rStyle w:val="Hyperlink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rStyle w:val="Hyperlink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rStyle w:val="Hyperlink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Style w:val="Hyperlink"/>
                <w:sz w:val="20"/>
                <w:szCs w:val="20"/>
                <w:lang w:val="pt-BR"/>
              </w:rPr>
              <w:t>Failed</w:t>
            </w:r>
            <w:proofErr w:type="spellEnd"/>
            <w:r>
              <w:rPr>
                <w:rStyle w:val="Hyperlink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Style w:val="Hyperlink"/>
                <w:sz w:val="20"/>
                <w:szCs w:val="20"/>
                <w:lang w:val="pt-BR"/>
              </w:rPr>
              <w:t>States</w:t>
            </w:r>
            <w:proofErr w:type="spellEnd"/>
            <w:r>
              <w:rPr>
                <w:rStyle w:val="Hyperlink"/>
                <w:sz w:val="20"/>
                <w:szCs w:val="20"/>
                <w:lang w:val="pt-BR"/>
              </w:rPr>
              <w:t xml:space="preserve">: The </w:t>
            </w:r>
            <w:proofErr w:type="spellStart"/>
            <w:r>
              <w:rPr>
                <w:rStyle w:val="Hyperlink"/>
                <w:sz w:val="20"/>
                <w:szCs w:val="20"/>
                <w:lang w:val="pt-BR"/>
              </w:rPr>
              <w:t>Problems</w:t>
            </w:r>
            <w:proofErr w:type="spellEnd"/>
            <w:r>
              <w:rPr>
                <w:rStyle w:val="Hyperlink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Style w:val="Hyperlink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rStyle w:val="Hyperlink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Style w:val="Hyperlink"/>
                <w:sz w:val="20"/>
                <w:szCs w:val="20"/>
                <w:lang w:val="pt-BR"/>
              </w:rPr>
              <w:t>Prohibition</w:t>
            </w:r>
            <w:proofErr w:type="spellEnd"/>
            <w:r>
              <w:fldChar w:fldCharType="end"/>
            </w:r>
            <w:r>
              <w:rPr>
                <w:color w:val="262626"/>
                <w:sz w:val="20"/>
                <w:szCs w:val="20"/>
                <w:lang w:val="pt-BR"/>
              </w:rPr>
              <w:t xml:space="preserve">”,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lastRenderedPageBreak/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implementing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partner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IISS,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with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OSF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support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plans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engage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relevant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officials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within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President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Ghani’s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administration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promote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more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effective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comprehensive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approach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issues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The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event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set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spring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2016,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shortly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after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UNGASS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with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following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goals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>:</w:t>
            </w:r>
          </w:p>
          <w:p w:rsidR="001F7097" w:rsidRDefault="001F7097">
            <w:r>
              <w:rPr>
                <w:color w:val="262626"/>
                <w:sz w:val="20"/>
                <w:szCs w:val="20"/>
                <w:lang w:val="pt-BR"/>
              </w:rPr>
              <w:t> </w:t>
            </w:r>
          </w:p>
          <w:p w:rsidR="001F7097" w:rsidRDefault="001F7097" w:rsidP="0046111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Reflecting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UNGASS’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deliberations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their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relevance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Afghanistan</w:t>
            </w:r>
            <w:proofErr w:type="spellEnd"/>
          </w:p>
          <w:p w:rsidR="001F7097" w:rsidRDefault="001F7097" w:rsidP="0046111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Encouraging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integration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mainstream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discussion</w:t>
            </w:r>
            <w:proofErr w:type="spellEnd"/>
          </w:p>
          <w:p w:rsidR="001F7097" w:rsidRDefault="001F7097" w:rsidP="0046111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Promoting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cross-departmental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multidisciplinary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approaches, e.g.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breaking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barriers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between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security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development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practitioners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increasing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coordination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>.</w:t>
            </w:r>
          </w:p>
          <w:p w:rsidR="001F7097" w:rsidRDefault="001F7097">
            <w:r>
              <w:rPr>
                <w:color w:val="262626"/>
                <w:sz w:val="20"/>
                <w:szCs w:val="20"/>
                <w:lang w:val="pt-BR"/>
              </w:rPr>
              <w:t> </w:t>
            </w:r>
          </w:p>
          <w:p w:rsidR="001F7097" w:rsidRDefault="001F7097">
            <w:r>
              <w:rPr>
                <w:color w:val="262626"/>
                <w:sz w:val="20"/>
                <w:szCs w:val="20"/>
                <w:lang w:val="pt-BR"/>
              </w:rPr>
              <w:t xml:space="preserve">In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advance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workshop, IISS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issue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brief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help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establish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informed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debate.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Following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workshop, IISS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issue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rapporteurs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’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summary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takeaways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The workshop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one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half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z w:val="20"/>
                <w:szCs w:val="20"/>
                <w:lang w:val="pt-BR"/>
              </w:rPr>
              <w:t>day</w:t>
            </w:r>
            <w:proofErr w:type="spellEnd"/>
            <w:proofErr w:type="gram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event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held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in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IISS’s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Middle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East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office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located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in Bahrain. The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location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help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mitigate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security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concerns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costs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for regional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delegates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from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Russia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Tajikistan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Pakistan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international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delegates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from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London, Washington D.C.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New York.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It’s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relatively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neutral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respected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location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within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MENA/SWA region. IISS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Middle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East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color w:val="262626"/>
                <w:sz w:val="20"/>
                <w:szCs w:val="20"/>
                <w:lang w:val="pt-BR"/>
              </w:rPr>
              <w:t>office</w:t>
            </w:r>
            <w:proofErr w:type="gram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recently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held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high-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level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security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conference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attended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several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senior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Afghan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officials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enthusiastic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about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engaging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more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directly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>.</w:t>
            </w:r>
          </w:p>
          <w:p w:rsidR="001F7097" w:rsidRDefault="001F7097">
            <w:r>
              <w:rPr>
                <w:color w:val="262626"/>
                <w:sz w:val="20"/>
                <w:szCs w:val="20"/>
                <w:lang w:val="pt-BR"/>
              </w:rPr>
              <w:t> </w:t>
            </w:r>
          </w:p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  <w:lang w:val="pt-BR"/>
              </w:rPr>
              <w:t xml:space="preserve">The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second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activity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hire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consultant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preferably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Afghaistan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based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with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significant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experience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in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making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The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consultant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supervised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GDPP,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given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their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technical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expertise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capacity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but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consultant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serve as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advisor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Open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Society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Afghanistan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Global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Program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Regional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Advocacy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Manager for MENA/SWA,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helping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develop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meaningful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engagement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with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local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actors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where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possible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providing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technical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assistance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government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interlocutors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. The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consultant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would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fill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a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critical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gap in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capacity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of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various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OSF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programs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by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providing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expert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dedicated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attention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to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the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drug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policy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making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process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in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Afghanistan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mapping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existing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actors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and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identifying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important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color w:val="262626"/>
                <w:sz w:val="20"/>
                <w:szCs w:val="20"/>
                <w:lang w:val="pt-BR"/>
              </w:rPr>
              <w:t>opportunities</w:t>
            </w:r>
            <w:proofErr w:type="spellEnd"/>
            <w:r>
              <w:rPr>
                <w:color w:val="262626"/>
                <w:sz w:val="20"/>
                <w:szCs w:val="20"/>
                <w:lang w:val="pt-BR"/>
              </w:rPr>
              <w:t>.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lastRenderedPageBreak/>
              <w:t>Summary for Board Reports (100 words)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sz w:val="20"/>
                <w:szCs w:val="20"/>
              </w:rPr>
              <w:t>In response to an opening in policy discussions, and a request from President Ghani, the Global Drug Policy Program and Open Society Afghanistan are proposing two things: support for a high-level workshop with senior Afghan policy makers on the topic of “Drugs and Conflict Prevention in Afghanistan”, convened by the International Institute for Strategic Studies.  A policy brief will be published in advance of the workshop, and an outcome report will be published with key policy takeaways for further advocacy. A consultant will also be hired to help map and steer strategic and technical engagement in Afghan drug policy making.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Collaborating Programs within OSF and essential partners or grantees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r>
              <w:rPr>
                <w:sz w:val="20"/>
                <w:szCs w:val="20"/>
              </w:rPr>
              <w:t> </w:t>
            </w:r>
          </w:p>
          <w:p w:rsidR="001F7097" w:rsidRDefault="001F7097">
            <w:r>
              <w:rPr>
                <w:sz w:val="20"/>
                <w:szCs w:val="20"/>
              </w:rPr>
              <w:t>OSF: Open Society Afghanistan, Global Drug Policy Program, and the Middle East, North Africa and Southwest Asia Program.</w:t>
            </w:r>
          </w:p>
          <w:p w:rsidR="001F7097" w:rsidRDefault="001F7097">
            <w:pPr>
              <w:spacing w:line="276" w:lineRule="auto"/>
            </w:pPr>
            <w:r>
              <w:rPr>
                <w:sz w:val="20"/>
                <w:szCs w:val="20"/>
              </w:rPr>
              <w:t>External: The International Institute for Strategic Studies.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Contributions expected from Collaborating Programs (250 words)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sz w:val="20"/>
                <w:szCs w:val="20"/>
              </w:rPr>
              <w:t xml:space="preserve">The Open Society Afghanistan and MENA Regional Advocacy Manager will offer its expertise on the local context, provide support in reaching high-level officials, and provide agenda and policy input. These entities will also help steer the work and priorities of the consultant. IISS will be the implementing partner for the workshop </w:t>
            </w:r>
            <w:r>
              <w:rPr>
                <w:sz w:val="20"/>
                <w:szCs w:val="20"/>
              </w:rPr>
              <w:lastRenderedPageBreak/>
              <w:t xml:space="preserve">and policy papers.  </w:t>
            </w:r>
          </w:p>
        </w:tc>
      </w:tr>
      <w:tr w:rsidR="001F7097" w:rsidTr="001F7097">
        <w:trPr>
          <w:trHeight w:val="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lastRenderedPageBreak/>
              <w:t>Statement of who within OSF would guide the work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sz w:val="20"/>
                <w:szCs w:val="20"/>
              </w:rPr>
              <w:t xml:space="preserve">The Global Drug Policy Program will be the lead department guiding the work. </w:t>
            </w:r>
          </w:p>
        </w:tc>
      </w:tr>
      <w:tr w:rsidR="001F7097" w:rsidTr="001F7097">
        <w:trPr>
          <w:trHeight w:val="169"/>
        </w:trPr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 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1F7097" w:rsidTr="001F7097">
        <w:trPr>
          <w:trHeight w:val="229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r>
              <w:rPr>
                <w:b/>
                <w:bCs/>
                <w:color w:val="262626"/>
              </w:rPr>
              <w:t>Allocator</w:t>
            </w:r>
          </w:p>
          <w:p w:rsidR="001F7097" w:rsidRDefault="001F7097">
            <w:pPr>
              <w:spacing w:line="276" w:lineRule="auto"/>
            </w:pPr>
            <w:r>
              <w:rPr>
                <w:i/>
                <w:iCs/>
                <w:color w:val="262626"/>
                <w:sz w:val="16"/>
                <w:szCs w:val="16"/>
              </w:rPr>
              <w:t xml:space="preserve">(See list on </w:t>
            </w:r>
            <w:hyperlink r:id="rId7" w:history="1">
              <w:r>
                <w:rPr>
                  <w:rStyle w:val="Hyperlink"/>
                  <w:i/>
                  <w:iCs/>
                  <w:sz w:val="16"/>
                  <w:szCs w:val="16"/>
                </w:rPr>
                <w:t>Reserve Funds KARL</w:t>
              </w:r>
            </w:hyperlink>
            <w:r>
              <w:rPr>
                <w:i/>
                <w:iCs/>
                <w:color w:val="262626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>Name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>Anthony Richter</w:t>
            </w:r>
          </w:p>
        </w:tc>
      </w:tr>
      <w:tr w:rsidR="001F7097" w:rsidTr="001F709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097" w:rsidRDefault="001F7097"/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>Date Approved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> </w:t>
            </w:r>
          </w:p>
        </w:tc>
      </w:tr>
      <w:tr w:rsidR="001F7097" w:rsidTr="001F7097">
        <w:trPr>
          <w:trHeight w:val="556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r>
              <w:rPr>
                <w:b/>
                <w:bCs/>
                <w:color w:val="262626"/>
              </w:rPr>
              <w:t>Allocator Notes / Comments</w:t>
            </w:r>
          </w:p>
          <w:p w:rsidR="001F7097" w:rsidRDefault="001F7097">
            <w:pPr>
              <w:spacing w:line="276" w:lineRule="auto"/>
            </w:pPr>
            <w:r>
              <w:rPr>
                <w:i/>
                <w:iCs/>
                <w:color w:val="262626"/>
                <w:sz w:val="16"/>
                <w:szCs w:val="16"/>
              </w:rPr>
              <w:t xml:space="preserve">(To be completed by </w:t>
            </w:r>
            <w:r>
              <w:rPr>
                <w:i/>
                <w:iCs/>
                <w:color w:val="262626"/>
                <w:sz w:val="16"/>
                <w:szCs w:val="16"/>
                <w:u w:val="single"/>
              </w:rPr>
              <w:t>allocator only</w:t>
            </w:r>
            <w:r>
              <w:rPr>
                <w:i/>
                <w:iCs/>
                <w:color w:val="262626"/>
                <w:sz w:val="16"/>
                <w:szCs w:val="16"/>
              </w:rPr>
              <w:t>)</w:t>
            </w:r>
          </w:p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r>
              <w:rPr>
                <w:i/>
                <w:iCs/>
                <w:color w:val="262626"/>
                <w:sz w:val="16"/>
                <w:szCs w:val="16"/>
              </w:rPr>
              <w:t>(Notes/Comments - Optional field)</w:t>
            </w:r>
          </w:p>
          <w:p w:rsidR="001F7097" w:rsidRDefault="001F7097">
            <w:pPr>
              <w:spacing w:line="276" w:lineRule="auto"/>
            </w:pPr>
            <w:r>
              <w:rPr>
                <w:color w:val="262626"/>
                <w:sz w:val="20"/>
                <w:szCs w:val="20"/>
              </w:rPr>
              <w:t> </w:t>
            </w:r>
          </w:p>
        </w:tc>
      </w:tr>
      <w:tr w:rsidR="001F7097" w:rsidTr="001F709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097" w:rsidRDefault="001F7097"/>
        </w:tc>
        <w:tc>
          <w:tcPr>
            <w:tcW w:w="7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r>
              <w:rPr>
                <w:i/>
                <w:iCs/>
                <w:sz w:val="16"/>
                <w:szCs w:val="16"/>
              </w:rPr>
              <w:t>(Criteria checklist)</w:t>
            </w:r>
          </w:p>
          <w:p w:rsidR="001F7097" w:rsidRDefault="001F7097"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color w:val="262626"/>
                <w:sz w:val="20"/>
                <w:szCs w:val="20"/>
              </w:rPr>
              <w:t xml:space="preserve"> Is this an </w:t>
            </w:r>
            <w:r>
              <w:rPr>
                <w:color w:val="262626"/>
                <w:sz w:val="20"/>
                <w:szCs w:val="20"/>
                <w:u w:val="single"/>
              </w:rPr>
              <w:t>unforeseen</w:t>
            </w:r>
            <w:r>
              <w:rPr>
                <w:color w:val="262626"/>
                <w:sz w:val="20"/>
                <w:szCs w:val="20"/>
              </w:rPr>
              <w:t xml:space="preserve"> opportunity or a genuinely new idea to advance core open society commitments?</w:t>
            </w:r>
          </w:p>
          <w:p w:rsidR="001F7097" w:rsidRDefault="001F7097"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☒</w:t>
            </w:r>
            <w:r>
              <w:rPr>
                <w:color w:val="262626"/>
                <w:sz w:val="20"/>
                <w:szCs w:val="20"/>
              </w:rPr>
              <w:t xml:space="preserve"> Is the need time-sensitive?  </w:t>
            </w:r>
          </w:p>
          <w:p w:rsidR="001F7097" w:rsidRDefault="001F7097"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☒</w:t>
            </w:r>
            <w:r>
              <w:rPr>
                <w:color w:val="262626"/>
                <w:sz w:val="20"/>
                <w:szCs w:val="20"/>
              </w:rPr>
              <w:t xml:space="preserve"> Are we proposing to do something that others are not doing?  </w:t>
            </w:r>
          </w:p>
          <w:p w:rsidR="001F7097" w:rsidRDefault="001F7097"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☒</w:t>
            </w:r>
            <w:r>
              <w:rPr>
                <w:color w:val="262626"/>
                <w:sz w:val="20"/>
                <w:szCs w:val="20"/>
              </w:rPr>
              <w:t xml:space="preserve"> Is the plan compelling?  </w:t>
            </w:r>
          </w:p>
          <w:p w:rsidR="001F7097" w:rsidRDefault="001F7097"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☒</w:t>
            </w:r>
            <w:r>
              <w:rPr>
                <w:color w:val="262626"/>
                <w:sz w:val="20"/>
                <w:szCs w:val="20"/>
              </w:rPr>
              <w:t xml:space="preserve"> Does the planned activity take good advantage of OSF capacity?  </w:t>
            </w:r>
          </w:p>
          <w:p w:rsidR="001F7097" w:rsidRDefault="001F7097"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☒</w:t>
            </w:r>
            <w:r>
              <w:rPr>
                <w:color w:val="262626"/>
                <w:sz w:val="20"/>
                <w:szCs w:val="20"/>
              </w:rPr>
              <w:t xml:space="preserve"> Is the team leading the work up to the task?</w:t>
            </w:r>
            <w:r>
              <w:rPr>
                <w:sz w:val="20"/>
                <w:szCs w:val="20"/>
              </w:rPr>
              <w:t xml:space="preserve">  </w:t>
            </w:r>
          </w:p>
        </w:tc>
      </w:tr>
      <w:tr w:rsidR="001F7097" w:rsidTr="001F7097">
        <w:trPr>
          <w:trHeight w:val="511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spacing w:line="276" w:lineRule="auto"/>
            </w:pPr>
            <w:r>
              <w:rPr>
                <w:b/>
                <w:bCs/>
                <w:color w:val="262626"/>
              </w:rPr>
              <w:t>Urgency level for grant approval &amp; payments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Rapid Response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  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Rapid Response </w:t>
            </w:r>
            <w:r>
              <w:rPr>
                <w:i/>
                <w:iCs/>
                <w:color w:val="262626"/>
                <w:sz w:val="16"/>
                <w:szCs w:val="16"/>
              </w:rPr>
              <w:t xml:space="preserve">(See procedure on </w:t>
            </w:r>
            <w:hyperlink r:id="rId8" w:history="1">
              <w:r>
                <w:rPr>
                  <w:rStyle w:val="Hyperlink"/>
                  <w:i/>
                  <w:iCs/>
                  <w:sz w:val="16"/>
                  <w:szCs w:val="16"/>
                </w:rPr>
                <w:t>KARL</w:t>
              </w:r>
            </w:hyperlink>
            <w:r>
              <w:rPr>
                <w:i/>
                <w:iCs/>
                <w:color w:val="262626"/>
                <w:sz w:val="16"/>
                <w:szCs w:val="16"/>
              </w:rPr>
              <w:t>)</w:t>
            </w:r>
          </w:p>
        </w:tc>
      </w:tr>
      <w:tr w:rsidR="001F7097" w:rsidTr="001F7097">
        <w:trPr>
          <w:trHeight w:val="287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r>
              <w:rPr>
                <w:b/>
                <w:bCs/>
                <w:color w:val="262626"/>
              </w:rPr>
              <w:t xml:space="preserve">If approved, where to allocate the budget? </w:t>
            </w:r>
          </w:p>
          <w:p w:rsidR="001F7097" w:rsidRDefault="001F7097">
            <w:pPr>
              <w:spacing w:line="276" w:lineRule="auto"/>
            </w:pPr>
            <w:r>
              <w:rPr>
                <w:i/>
                <w:iCs/>
                <w:color w:val="262626"/>
                <w:sz w:val="16"/>
                <w:szCs w:val="16"/>
              </w:rPr>
              <w:t>(If the budget is split between multiple programs, please copy/paste this section as needed.)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Amount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color w:val="262626"/>
                <w:sz w:val="20"/>
                <w:szCs w:val="20"/>
              </w:rPr>
              <w:t>$193,400</w:t>
            </w:r>
          </w:p>
        </w:tc>
      </w:tr>
      <w:tr w:rsidR="001F7097" w:rsidTr="001F709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097" w:rsidRDefault="001F7097"/>
        </w:tc>
        <w:tc>
          <w:tcPr>
            <w:tcW w:w="3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Category of Work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FGG004</w:t>
            </w:r>
          </w:p>
        </w:tc>
      </w:tr>
      <w:tr w:rsidR="001F7097" w:rsidTr="001F709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097" w:rsidRDefault="001F7097"/>
        </w:tc>
        <w:tc>
          <w:tcPr>
            <w:tcW w:w="3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Division/Program Code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GDP Program</w:t>
            </w:r>
          </w:p>
        </w:tc>
      </w:tr>
      <w:tr w:rsidR="001F7097" w:rsidTr="001F709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097" w:rsidRDefault="001F7097"/>
        </w:tc>
        <w:tc>
          <w:tcPr>
            <w:tcW w:w="3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 xml:space="preserve">Entity </w:t>
            </w:r>
            <w:r>
              <w:rPr>
                <w:i/>
                <w:iCs/>
                <w:sz w:val="20"/>
                <w:szCs w:val="20"/>
              </w:rPr>
              <w:t>(i.e., FPOS, ZUG)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FPOS</w:t>
            </w:r>
          </w:p>
        </w:tc>
      </w:tr>
      <w:tr w:rsidR="001F7097" w:rsidTr="001F709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097" w:rsidRDefault="001F7097"/>
        </w:tc>
        <w:tc>
          <w:tcPr>
            <w:tcW w:w="3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 xml:space="preserve">Fund Class </w:t>
            </w:r>
            <w:r>
              <w:rPr>
                <w:i/>
                <w:iCs/>
                <w:sz w:val="20"/>
                <w:szCs w:val="20"/>
              </w:rPr>
              <w:t>(i.e., Lobbying/Non-Lobbying)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Non-lobbying</w:t>
            </w:r>
          </w:p>
        </w:tc>
      </w:tr>
      <w:tr w:rsidR="001F7097" w:rsidTr="001F709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097" w:rsidRDefault="001F7097"/>
        </w:tc>
        <w:tc>
          <w:tcPr>
            <w:tcW w:w="3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 xml:space="preserve">Geography </w:t>
            </w:r>
            <w:r>
              <w:rPr>
                <w:i/>
                <w:iCs/>
                <w:sz w:val="20"/>
                <w:szCs w:val="20"/>
              </w:rPr>
              <w:t>(of benefit)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7097" w:rsidRDefault="001F7097">
            <w:pPr>
              <w:pStyle w:val="ColorfulList-Accent1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MENA/SWA</w:t>
            </w:r>
          </w:p>
        </w:tc>
      </w:tr>
    </w:tbl>
    <w:p w:rsidR="00863AA0" w:rsidRDefault="00863AA0">
      <w:bookmarkStart w:id="0" w:name="_GoBack"/>
      <w:bookmarkEnd w:id="0"/>
    </w:p>
    <w:sectPr w:rsidR="00863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2D0E"/>
    <w:multiLevelType w:val="hybridMultilevel"/>
    <w:tmpl w:val="878814DE"/>
    <w:lvl w:ilvl="0" w:tplc="04090001">
      <w:start w:val="1"/>
      <w:numFmt w:val="bullet"/>
      <w:lvlText w:val=".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.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.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.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.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.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97"/>
    <w:rsid w:val="001F7097"/>
    <w:rsid w:val="0086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097"/>
    <w:pPr>
      <w:ind w:left="720"/>
    </w:pPr>
  </w:style>
  <w:style w:type="paragraph" w:customStyle="1" w:styleId="ColorfulList-Accent11">
    <w:name w:val="Colorful List - Accent 11"/>
    <w:basedOn w:val="Normal"/>
    <w:uiPriority w:val="34"/>
    <w:rsid w:val="001F709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097"/>
    <w:pPr>
      <w:ind w:left="720"/>
    </w:pPr>
  </w:style>
  <w:style w:type="paragraph" w:customStyle="1" w:styleId="ColorfulList-Accent11">
    <w:name w:val="Colorful List - Accent 11"/>
    <w:basedOn w:val="Normal"/>
    <w:uiPriority w:val="34"/>
    <w:rsid w:val="001F70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l.soros.org/communities/reserves/files/ii.-policies/rapid-response-as-of-10-november-2014.docx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rl.soros.org/communities/reserves/vie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n.gov.af/Content/files/English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Budapest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Knuth</dc:creator>
  <cp:lastModifiedBy>David Knuth</cp:lastModifiedBy>
  <cp:revision>1</cp:revision>
  <dcterms:created xsi:type="dcterms:W3CDTF">2015-12-22T20:33:00Z</dcterms:created>
  <dcterms:modified xsi:type="dcterms:W3CDTF">2015-12-22T20:33:00Z</dcterms:modified>
</cp:coreProperties>
</file>