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CellMar>
          <w:left w:w="0" w:type="dxa"/>
          <w:right w:w="0" w:type="dxa"/>
        </w:tblCellMar>
        <w:tblLook w:val="04A0" w:firstRow="1" w:lastRow="0" w:firstColumn="1" w:lastColumn="0" w:noHBand="0" w:noVBand="1"/>
      </w:tblPr>
      <w:tblGrid>
        <w:gridCol w:w="2359"/>
        <w:gridCol w:w="1594"/>
        <w:gridCol w:w="1962"/>
        <w:gridCol w:w="3661"/>
      </w:tblGrid>
      <w:tr w:rsidR="00EE33C9" w:rsidTr="00EE33C9">
        <w:trPr>
          <w:trHeight w:val="350"/>
        </w:trPr>
        <w:tc>
          <w:tcPr>
            <w:tcW w:w="2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b/>
                <w:bCs/>
                <w:color w:val="262626"/>
                <w:sz w:val="22"/>
                <w:szCs w:val="22"/>
              </w:rPr>
            </w:pPr>
            <w:r>
              <w:rPr>
                <w:b/>
                <w:bCs/>
                <w:color w:val="262626"/>
              </w:rPr>
              <w:t>Proposal Title</w:t>
            </w:r>
          </w:p>
        </w:tc>
        <w:tc>
          <w:tcPr>
            <w:tcW w:w="721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rPr>
            </w:pPr>
            <w:r>
              <w:rPr>
                <w:rFonts w:ascii="Calibri" w:hAnsi="Calibri"/>
                <w:color w:val="262626"/>
              </w:rPr>
              <w:t>Ukraine Gas Reform Project</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Applicant</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rPr>
            </w:pPr>
            <w:r>
              <w:rPr>
                <w:rFonts w:ascii="Calibri" w:hAnsi="Calibri"/>
                <w:color w:val="262626"/>
              </w:rPr>
              <w:t xml:space="preserve">International Renaissance Foundation </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b/>
                <w:bCs/>
                <w:color w:val="262626"/>
                <w:sz w:val="22"/>
                <w:szCs w:val="22"/>
              </w:rPr>
            </w:pPr>
            <w:r>
              <w:rPr>
                <w:b/>
                <w:bCs/>
                <w:color w:val="262626"/>
              </w:rPr>
              <w:t>Reserve Fund</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rPr>
            </w:pPr>
            <w:r>
              <w:rPr>
                <w:rFonts w:ascii="Calibri" w:hAnsi="Calibri"/>
                <w:color w:val="262626"/>
                <w:sz w:val="22"/>
                <w:szCs w:val="22"/>
              </w:rPr>
              <w:t>President’s/Chairman’s</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Amount Requested</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rPr>
            </w:pPr>
            <w:r>
              <w:rPr>
                <w:color w:val="FF0000"/>
              </w:rPr>
              <w:t>$2,832,994.84</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Background (Optional)</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lang w:val="pt-BR"/>
              </w:rPr>
            </w:pPr>
            <w:r>
              <w:rPr>
                <w:rFonts w:ascii="Calibri" w:hAnsi="Calibri"/>
                <w:color w:val="262626"/>
                <w:lang w:val="pt-BR"/>
              </w:rPr>
              <w:t xml:space="preserve">Naftogaz is the driving force behind Ukraine’s gas sector reform. The reform implements the EU 3rd Energy Package in Ukraine and opens the market for international investment. Other strategic goals of Naftogaz reform include ensuring security of gas supply, the diversification of Ukraine’s sources of gas imports, integration with the EU, improving operational efficiency of the group and bringing international investment in various segments of the group’s operations. </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Risks (Optional)</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lang w:val="pt-BR"/>
              </w:rPr>
            </w:pPr>
            <w:r>
              <w:t xml:space="preserve">The risks to this project are related to the level of political will within the government to pursue the reform of </w:t>
            </w:r>
            <w:proofErr w:type="spellStart"/>
            <w:r>
              <w:t>Naftogaz</w:t>
            </w:r>
            <w:proofErr w:type="spellEnd"/>
            <w:r>
              <w:t>.</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Unforeseen Need (250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lang w:val="en-GB"/>
              </w:rPr>
            </w:pPr>
            <w:r>
              <w:rPr>
                <w:rFonts w:ascii="Calibri" w:hAnsi="Calibri"/>
                <w:color w:val="262626"/>
                <w:lang w:val="en-GB"/>
              </w:rPr>
              <w:t xml:space="preserve">Ukraine’s commitments under the Energy Community Treaty and so-called “3rd Energy Package” of EU require reform of Ukraine’s gas sector. Reform of </w:t>
            </w:r>
            <w:proofErr w:type="spellStart"/>
            <w:r>
              <w:rPr>
                <w:rFonts w:ascii="Calibri" w:hAnsi="Calibri"/>
                <w:color w:val="262626"/>
                <w:lang w:val="en-GB"/>
              </w:rPr>
              <w:t>Naftogaz</w:t>
            </w:r>
            <w:proofErr w:type="spellEnd"/>
            <w:r>
              <w:rPr>
                <w:rFonts w:ascii="Calibri" w:hAnsi="Calibri"/>
                <w:color w:val="262626"/>
                <w:lang w:val="en-GB"/>
              </w:rPr>
              <w:t xml:space="preserve"> is one of the key components of the gas sector reform. At the initiative of Georges Soros IRF contracted McKinsey &amp; Company Ukraine to provide high-level consulting and develop necessary recommendations for the reform of </w:t>
            </w:r>
            <w:proofErr w:type="spellStart"/>
            <w:r>
              <w:rPr>
                <w:rFonts w:ascii="Calibri" w:hAnsi="Calibri"/>
                <w:color w:val="262626"/>
                <w:lang w:val="en-GB"/>
              </w:rPr>
              <w:t>Naftogaz</w:t>
            </w:r>
            <w:proofErr w:type="spellEnd"/>
            <w:r>
              <w:rPr>
                <w:rFonts w:ascii="Calibri" w:hAnsi="Calibri"/>
                <w:color w:val="262626"/>
                <w:lang w:val="en-GB"/>
              </w:rPr>
              <w:t xml:space="preserve">. </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Activities Proposed (500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rPr>
                <w:rFonts w:ascii="Calibri" w:hAnsi="Calibri"/>
                <w:color w:val="262626"/>
                <w:lang w:val="pt-BR"/>
              </w:rPr>
            </w:pPr>
            <w:r>
              <w:rPr>
                <w:rFonts w:ascii="Calibri" w:hAnsi="Calibri"/>
                <w:color w:val="262626"/>
                <w:lang w:val="pt-BR"/>
              </w:rPr>
              <w:t xml:space="preserve">IRF contracted McKinsey &amp; Company Ukraine to provide consulting services to the National Joint Stock Company Naftogaz of Ukraine regarding the following: </w:t>
            </w:r>
          </w:p>
          <w:p w:rsidR="00EE33C9" w:rsidRDefault="00EE33C9">
            <w:pPr>
              <w:rPr>
                <w:rFonts w:ascii="Calibri" w:hAnsi="Calibri"/>
                <w:color w:val="262626"/>
                <w:lang w:val="pt-BR"/>
              </w:rPr>
            </w:pPr>
            <w:r>
              <w:rPr>
                <w:rFonts w:ascii="Calibri" w:hAnsi="Calibri"/>
                <w:color w:val="262626"/>
                <w:lang w:val="pt-BR"/>
              </w:rPr>
              <w:t>- options for the design of public service obligations and subsidy delivery;</w:t>
            </w:r>
          </w:p>
          <w:p w:rsidR="00EE33C9" w:rsidRDefault="00EE33C9">
            <w:pPr>
              <w:rPr>
                <w:rFonts w:ascii="Calibri" w:hAnsi="Calibri"/>
                <w:color w:val="262626"/>
                <w:lang w:val="pt-BR"/>
              </w:rPr>
            </w:pPr>
            <w:r>
              <w:rPr>
                <w:rFonts w:ascii="Calibri" w:hAnsi="Calibri"/>
                <w:color w:val="262626"/>
                <w:lang w:val="pt-BR"/>
              </w:rPr>
              <w:t>- opportunities for improvement in energy efficiency (EE), and concrete implementation plan for 1 high-impact measure;</w:t>
            </w:r>
          </w:p>
          <w:p w:rsidR="00EE33C9" w:rsidRDefault="00EE33C9">
            <w:pPr>
              <w:rPr>
                <w:rFonts w:ascii="Calibri" w:hAnsi="Calibri"/>
                <w:color w:val="262626"/>
                <w:lang w:val="pt-BR"/>
              </w:rPr>
            </w:pPr>
            <w:r>
              <w:rPr>
                <w:rFonts w:ascii="Calibri" w:hAnsi="Calibri"/>
                <w:color w:val="262626"/>
                <w:lang w:val="pt-BR"/>
              </w:rPr>
              <w:t>- business case for the integration into EU of Ukraine’s gas system;</w:t>
            </w:r>
          </w:p>
          <w:p w:rsidR="00EE33C9" w:rsidRDefault="00EE33C9">
            <w:pPr>
              <w:rPr>
                <w:rFonts w:ascii="Calibri" w:hAnsi="Calibri"/>
                <w:color w:val="262626"/>
                <w:lang w:val="pt-BR"/>
              </w:rPr>
            </w:pPr>
            <w:r>
              <w:rPr>
                <w:rFonts w:ascii="Calibri" w:hAnsi="Calibri"/>
                <w:color w:val="262626"/>
                <w:lang w:val="pt-BR"/>
              </w:rPr>
              <w:t>- opportunities for domestic gas production increase;</w:t>
            </w:r>
          </w:p>
          <w:p w:rsidR="00EE33C9" w:rsidRDefault="00EE33C9">
            <w:pPr>
              <w:rPr>
                <w:rFonts w:ascii="Calibri" w:hAnsi="Calibri"/>
                <w:color w:val="262626"/>
                <w:lang w:val="pt-BR"/>
              </w:rPr>
            </w:pPr>
            <w:r>
              <w:rPr>
                <w:rFonts w:ascii="Calibri" w:hAnsi="Calibri"/>
                <w:color w:val="262626"/>
                <w:lang w:val="pt-BR"/>
              </w:rPr>
              <w:t>- options for unbundling and improvement of corporate governance of Naftogaz;</w:t>
            </w:r>
          </w:p>
          <w:p w:rsidR="00EE33C9" w:rsidRDefault="00EE33C9">
            <w:pPr>
              <w:rPr>
                <w:rFonts w:ascii="Calibri" w:hAnsi="Calibri"/>
                <w:color w:val="262626"/>
                <w:lang w:val="pt-BR"/>
              </w:rPr>
            </w:pPr>
            <w:r>
              <w:rPr>
                <w:rFonts w:ascii="Calibri" w:hAnsi="Calibri"/>
                <w:color w:val="262626"/>
                <w:lang w:val="pt-BR"/>
              </w:rPr>
              <w:t>- integrated perspective on gas reform implementation and alignment of key stakeholders;</w:t>
            </w:r>
          </w:p>
          <w:p w:rsidR="00EE33C9" w:rsidRDefault="00EE33C9">
            <w:pPr>
              <w:rPr>
                <w:rFonts w:ascii="Calibri" w:hAnsi="Calibri"/>
                <w:color w:val="262626"/>
                <w:lang w:val="pt-BR"/>
              </w:rPr>
            </w:pPr>
            <w:r>
              <w:rPr>
                <w:rFonts w:ascii="Calibri" w:hAnsi="Calibri"/>
                <w:color w:val="262626"/>
                <w:lang w:val="pt-BR"/>
              </w:rPr>
              <w:t>- delivery of subsidies to eligible households of Ukraine in 2015;</w:t>
            </w:r>
          </w:p>
          <w:p w:rsidR="00EE33C9" w:rsidRDefault="00EE33C9">
            <w:pPr>
              <w:spacing w:line="276" w:lineRule="auto"/>
              <w:rPr>
                <w:rFonts w:ascii="Calibri" w:hAnsi="Calibri"/>
                <w:color w:val="262626"/>
                <w:sz w:val="22"/>
                <w:szCs w:val="22"/>
                <w:lang w:val="pt-BR"/>
              </w:rPr>
            </w:pPr>
            <w:r>
              <w:rPr>
                <w:rFonts w:ascii="Calibri" w:hAnsi="Calibri"/>
                <w:color w:val="262626"/>
                <w:lang w:val="pt-BR"/>
              </w:rPr>
              <w:t>- set up of a National Energy Efficiency Program in Ukraine.</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Summary for Board Reports (100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sz w:val="22"/>
                <w:szCs w:val="22"/>
              </w:rPr>
            </w:pPr>
            <w:r>
              <w:rPr>
                <w:rFonts w:ascii="Calibri" w:hAnsi="Calibri"/>
                <w:color w:val="262626"/>
                <w:lang w:val="pt-BR"/>
              </w:rPr>
              <w:t>The project will support development of recomendations for reform of National Joint Stock Company Naftogaz of Ukraine by McKinsey &amp; Company Ukraine</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 xml:space="preserve">Collaborating Programs within OSF and essential </w:t>
            </w:r>
            <w:r>
              <w:rPr>
                <w:b/>
                <w:bCs/>
                <w:color w:val="262626"/>
              </w:rPr>
              <w:lastRenderedPageBreak/>
              <w:t>partners or grantees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sz w:val="22"/>
                <w:szCs w:val="22"/>
              </w:rPr>
            </w:pPr>
            <w:r>
              <w:rPr>
                <w:rFonts w:ascii="Calibri" w:hAnsi="Calibri"/>
                <w:color w:val="262626"/>
                <w:lang w:val="pt-BR"/>
              </w:rPr>
              <w:lastRenderedPageBreak/>
              <w:t>The project partners will include McKinsey &amp; Company Ukraine and the National Joint Stock Company Naftogaz of Ukraine</w:t>
            </w: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lastRenderedPageBreak/>
              <w:t>Contributions expected from Collaborating Programs (250 words)</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tcPr>
          <w:p w:rsidR="00EE33C9" w:rsidRDefault="00EE33C9">
            <w:pPr>
              <w:spacing w:line="276" w:lineRule="auto"/>
              <w:rPr>
                <w:rFonts w:ascii="Calibri" w:hAnsi="Calibri"/>
                <w:sz w:val="22"/>
                <w:szCs w:val="22"/>
              </w:rPr>
            </w:pPr>
          </w:p>
        </w:tc>
      </w:tr>
      <w:tr w:rsidR="00EE33C9" w:rsidTr="00EE33C9">
        <w:trPr>
          <w:trHeight w:val="20"/>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Statement of who within OSF would guide the work</w:t>
            </w:r>
          </w:p>
        </w:tc>
        <w:tc>
          <w:tcPr>
            <w:tcW w:w="7217"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jc w:val="both"/>
              <w:rPr>
                <w:color w:val="000000"/>
              </w:rPr>
            </w:pPr>
            <w:r>
              <w:rPr>
                <w:color w:val="000000"/>
              </w:rPr>
              <w:t>Yevhen Bystrytsky, IRF Executive Director</w:t>
            </w:r>
          </w:p>
          <w:p w:rsidR="00EE33C9" w:rsidRDefault="00EE33C9">
            <w:pPr>
              <w:spacing w:after="200"/>
              <w:jc w:val="both"/>
              <w:rPr>
                <w:rFonts w:ascii="Calibri" w:hAnsi="Calibri"/>
                <w:sz w:val="22"/>
                <w:szCs w:val="22"/>
              </w:rPr>
            </w:pPr>
            <w:proofErr w:type="spellStart"/>
            <w:r>
              <w:rPr>
                <w:color w:val="000000"/>
              </w:rPr>
              <w:t>Oleksandr</w:t>
            </w:r>
            <w:proofErr w:type="spellEnd"/>
            <w:r>
              <w:rPr>
                <w:color w:val="000000"/>
              </w:rPr>
              <w:t xml:space="preserve"> </w:t>
            </w:r>
            <w:proofErr w:type="spellStart"/>
            <w:r>
              <w:rPr>
                <w:color w:val="000000"/>
              </w:rPr>
              <w:t>Sushko</w:t>
            </w:r>
            <w:proofErr w:type="spellEnd"/>
            <w:r>
              <w:rPr>
                <w:color w:val="000000"/>
              </w:rPr>
              <w:t xml:space="preserve">, Chairman of the IRF Board </w:t>
            </w:r>
          </w:p>
        </w:tc>
      </w:tr>
      <w:tr w:rsidR="00EE33C9" w:rsidTr="00EE33C9">
        <w:trPr>
          <w:trHeight w:val="169"/>
        </w:trPr>
        <w:tc>
          <w:tcPr>
            <w:tcW w:w="2359" w:type="dxa"/>
            <w:tcBorders>
              <w:top w:val="nil"/>
              <w:left w:val="nil"/>
              <w:bottom w:val="single" w:sz="8" w:space="0" w:color="auto"/>
              <w:right w:val="nil"/>
            </w:tcBorders>
            <w:tcMar>
              <w:top w:w="0" w:type="dxa"/>
              <w:left w:w="108" w:type="dxa"/>
              <w:bottom w:w="0" w:type="dxa"/>
              <w:right w:w="108" w:type="dxa"/>
            </w:tcMar>
          </w:tcPr>
          <w:p w:rsidR="00EE33C9" w:rsidRDefault="00EE33C9">
            <w:pPr>
              <w:spacing w:line="276" w:lineRule="auto"/>
              <w:rPr>
                <w:b/>
                <w:bCs/>
                <w:color w:val="262626"/>
                <w:sz w:val="22"/>
                <w:szCs w:val="22"/>
              </w:rPr>
            </w:pPr>
          </w:p>
        </w:tc>
        <w:tc>
          <w:tcPr>
            <w:tcW w:w="7217" w:type="dxa"/>
            <w:gridSpan w:val="3"/>
            <w:tcBorders>
              <w:top w:val="nil"/>
              <w:left w:val="nil"/>
              <w:bottom w:val="single" w:sz="8" w:space="0" w:color="auto"/>
              <w:right w:val="nil"/>
            </w:tcBorders>
            <w:tcMar>
              <w:top w:w="0" w:type="dxa"/>
              <w:left w:w="108" w:type="dxa"/>
              <w:bottom w:w="0" w:type="dxa"/>
              <w:right w:w="108" w:type="dxa"/>
            </w:tcMar>
          </w:tcPr>
          <w:p w:rsidR="00EE33C9" w:rsidRDefault="00EE33C9">
            <w:pPr>
              <w:spacing w:line="276" w:lineRule="auto"/>
              <w:rPr>
                <w:rFonts w:ascii="Calibri" w:hAnsi="Calibri"/>
                <w:sz w:val="22"/>
                <w:szCs w:val="22"/>
              </w:rPr>
            </w:pPr>
          </w:p>
        </w:tc>
      </w:tr>
      <w:tr w:rsidR="00EE33C9" w:rsidTr="00EE33C9">
        <w:trPr>
          <w:trHeight w:val="229"/>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rPr>
                <w:b/>
                <w:bCs/>
                <w:color w:val="262626"/>
              </w:rPr>
            </w:pPr>
            <w:r>
              <w:rPr>
                <w:b/>
                <w:bCs/>
                <w:color w:val="262626"/>
              </w:rPr>
              <w:t>Allocator</w:t>
            </w:r>
          </w:p>
          <w:p w:rsidR="00EE33C9" w:rsidRDefault="00EE33C9">
            <w:pPr>
              <w:spacing w:line="276" w:lineRule="auto"/>
              <w:rPr>
                <w:i/>
                <w:iCs/>
                <w:color w:val="262626"/>
                <w:sz w:val="22"/>
                <w:szCs w:val="22"/>
              </w:rPr>
            </w:pPr>
            <w:r>
              <w:rPr>
                <w:i/>
                <w:iCs/>
                <w:color w:val="262626"/>
              </w:rPr>
              <w:t xml:space="preserve">(See list on </w:t>
            </w:r>
            <w:hyperlink r:id="rId5" w:history="1">
              <w:r>
                <w:rPr>
                  <w:rStyle w:val="Hyperlink"/>
                  <w:i/>
                  <w:iCs/>
                </w:rPr>
                <w:t>Reserve Funds KARL</w:t>
              </w:r>
            </w:hyperlink>
            <w:r>
              <w:rPr>
                <w:i/>
                <w:iCs/>
                <w:color w:val="262626"/>
              </w:rPr>
              <w:t>)</w:t>
            </w: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rPr>
            </w:pPr>
            <w:r>
              <w:rPr>
                <w:rFonts w:ascii="Calibri" w:hAnsi="Calibri"/>
                <w:color w:val="262626"/>
              </w:rPr>
              <w:t>Name</w:t>
            </w:r>
          </w:p>
        </w:tc>
        <w:tc>
          <w:tcPr>
            <w:tcW w:w="5623" w:type="dxa"/>
            <w:gridSpan w:val="2"/>
            <w:tcBorders>
              <w:top w:val="nil"/>
              <w:left w:val="nil"/>
              <w:bottom w:val="single" w:sz="8" w:space="0" w:color="auto"/>
              <w:right w:val="single" w:sz="8" w:space="0" w:color="auto"/>
            </w:tcBorders>
            <w:hideMark/>
          </w:tcPr>
          <w:p w:rsidR="00EE33C9" w:rsidRDefault="00EE33C9">
            <w:pPr>
              <w:spacing w:line="276" w:lineRule="auto"/>
              <w:rPr>
                <w:rFonts w:ascii="Calibri" w:hAnsi="Calibri"/>
                <w:color w:val="262626"/>
                <w:sz w:val="22"/>
                <w:szCs w:val="22"/>
              </w:rPr>
            </w:pPr>
            <w:r>
              <w:rPr>
                <w:rFonts w:ascii="Calibri" w:hAnsi="Calibri"/>
                <w:color w:val="262626"/>
              </w:rPr>
              <w:t>Leonard Benardo, Regional Director, Eurasia</w:t>
            </w:r>
            <w:r>
              <w:rPr>
                <w:color w:val="000000"/>
              </w:rPr>
              <w:t xml:space="preserve"> </w:t>
            </w:r>
          </w:p>
        </w:tc>
      </w:tr>
      <w:tr w:rsidR="00EE33C9" w:rsidTr="00EE33C9">
        <w:trPr>
          <w:trHeight w:val="273"/>
        </w:trPr>
        <w:tc>
          <w:tcPr>
            <w:tcW w:w="0" w:type="auto"/>
            <w:vMerge/>
            <w:tcBorders>
              <w:top w:val="nil"/>
              <w:left w:val="single" w:sz="8" w:space="0" w:color="auto"/>
              <w:bottom w:val="single" w:sz="8" w:space="0" w:color="auto"/>
              <w:right w:val="single" w:sz="8" w:space="0" w:color="auto"/>
            </w:tcBorders>
            <w:vAlign w:val="center"/>
            <w:hideMark/>
          </w:tcPr>
          <w:p w:rsidR="00EE33C9" w:rsidRDefault="00EE33C9">
            <w:pPr>
              <w:rPr>
                <w:i/>
                <w:iCs/>
                <w:color w:val="262626"/>
                <w:sz w:val="22"/>
                <w:szCs w:val="22"/>
              </w:rPr>
            </w:pPr>
          </w:p>
        </w:tc>
        <w:tc>
          <w:tcPr>
            <w:tcW w:w="1594" w:type="dxa"/>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rFonts w:ascii="Calibri" w:hAnsi="Calibri"/>
                <w:color w:val="262626"/>
                <w:sz w:val="22"/>
                <w:szCs w:val="22"/>
              </w:rPr>
            </w:pPr>
            <w:r>
              <w:rPr>
                <w:rFonts w:ascii="Calibri" w:hAnsi="Calibri"/>
                <w:color w:val="262626"/>
              </w:rPr>
              <w:t>Date Approved</w:t>
            </w:r>
          </w:p>
        </w:tc>
        <w:tc>
          <w:tcPr>
            <w:tcW w:w="5623" w:type="dxa"/>
            <w:gridSpan w:val="2"/>
            <w:tcBorders>
              <w:top w:val="nil"/>
              <w:left w:val="nil"/>
              <w:bottom w:val="single" w:sz="8" w:space="0" w:color="auto"/>
              <w:right w:val="single" w:sz="8" w:space="0" w:color="auto"/>
            </w:tcBorders>
          </w:tcPr>
          <w:p w:rsidR="00EE33C9" w:rsidRDefault="00EE33C9">
            <w:pPr>
              <w:spacing w:line="276" w:lineRule="auto"/>
              <w:rPr>
                <w:rFonts w:ascii="Calibri" w:hAnsi="Calibri"/>
                <w:color w:val="262626"/>
                <w:sz w:val="22"/>
                <w:szCs w:val="22"/>
              </w:rPr>
            </w:pPr>
            <w:r>
              <w:rPr>
                <w:rFonts w:ascii="Calibri" w:hAnsi="Calibri"/>
                <w:color w:val="262626"/>
                <w:sz w:val="22"/>
                <w:szCs w:val="22"/>
              </w:rPr>
              <w:t>December 1, 2015</w:t>
            </w:r>
            <w:bookmarkStart w:id="0" w:name="_GoBack"/>
            <w:bookmarkEnd w:id="0"/>
          </w:p>
        </w:tc>
      </w:tr>
      <w:tr w:rsidR="00EE33C9" w:rsidTr="00EE33C9">
        <w:trPr>
          <w:trHeight w:val="556"/>
        </w:trPr>
        <w:tc>
          <w:tcPr>
            <w:tcW w:w="2359"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EE33C9" w:rsidRDefault="00EE33C9">
            <w:pPr>
              <w:rPr>
                <w:b/>
                <w:bCs/>
                <w:color w:val="262626"/>
              </w:rPr>
            </w:pPr>
            <w:r>
              <w:rPr>
                <w:b/>
                <w:bCs/>
                <w:color w:val="262626"/>
              </w:rPr>
              <w:t>Allocator Notes / Comments</w:t>
            </w:r>
          </w:p>
          <w:p w:rsidR="00EE33C9" w:rsidRDefault="00EE33C9">
            <w:pPr>
              <w:spacing w:line="276" w:lineRule="auto"/>
              <w:rPr>
                <w:rFonts w:ascii="Calibri" w:hAnsi="Calibri"/>
                <w:b/>
                <w:bCs/>
                <w:color w:val="262626"/>
                <w:sz w:val="22"/>
                <w:szCs w:val="22"/>
              </w:rPr>
            </w:pPr>
            <w:r>
              <w:rPr>
                <w:i/>
                <w:iCs/>
                <w:color w:val="262626"/>
              </w:rPr>
              <w:t xml:space="preserve">(To be completed by </w:t>
            </w:r>
            <w:r>
              <w:rPr>
                <w:i/>
                <w:iCs/>
                <w:color w:val="262626"/>
                <w:u w:val="single"/>
              </w:rPr>
              <w:t>allocator only</w:t>
            </w:r>
            <w:r>
              <w:rPr>
                <w:i/>
                <w:iCs/>
                <w:color w:val="262626"/>
              </w:rPr>
              <w:t>)</w:t>
            </w: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tcPr>
          <w:p w:rsidR="00EE33C9" w:rsidRDefault="00EE33C9">
            <w:pPr>
              <w:rPr>
                <w:i/>
                <w:iCs/>
                <w:color w:val="262626"/>
              </w:rPr>
            </w:pPr>
            <w:r>
              <w:rPr>
                <w:i/>
                <w:iCs/>
                <w:color w:val="262626"/>
              </w:rPr>
              <w:t>(Notes/Comments - Optional field)</w:t>
            </w:r>
          </w:p>
          <w:p w:rsidR="00EE33C9" w:rsidRDefault="00EE33C9">
            <w:pPr>
              <w:spacing w:line="276" w:lineRule="auto"/>
              <w:rPr>
                <w:rFonts w:ascii="Calibri" w:hAnsi="Calibri"/>
                <w:color w:val="262626"/>
                <w:sz w:val="22"/>
                <w:szCs w:val="22"/>
              </w:rPr>
            </w:pPr>
          </w:p>
        </w:tc>
      </w:tr>
      <w:tr w:rsidR="00EE33C9" w:rsidTr="00EE33C9">
        <w:trPr>
          <w:trHeight w:val="665"/>
        </w:trPr>
        <w:tc>
          <w:tcPr>
            <w:tcW w:w="0" w:type="auto"/>
            <w:vMerge/>
            <w:tcBorders>
              <w:top w:val="nil"/>
              <w:left w:val="single" w:sz="8" w:space="0" w:color="auto"/>
              <w:bottom w:val="single" w:sz="8" w:space="0" w:color="auto"/>
              <w:right w:val="single" w:sz="8" w:space="0" w:color="auto"/>
            </w:tcBorders>
            <w:vAlign w:val="center"/>
            <w:hideMark/>
          </w:tcPr>
          <w:p w:rsidR="00EE33C9" w:rsidRDefault="00EE33C9">
            <w:pPr>
              <w:rPr>
                <w:rFonts w:ascii="Calibri" w:hAnsi="Calibri"/>
                <w:b/>
                <w:bCs/>
                <w:color w:val="262626"/>
                <w:sz w:val="22"/>
                <w:szCs w:val="22"/>
              </w:rPr>
            </w:pPr>
          </w:p>
        </w:tc>
        <w:tc>
          <w:tcPr>
            <w:tcW w:w="7217"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EE33C9" w:rsidRDefault="00EE33C9">
            <w:pPr>
              <w:rPr>
                <w:i/>
                <w:iCs/>
              </w:rPr>
            </w:pPr>
            <w:r>
              <w:rPr>
                <w:i/>
                <w:iCs/>
              </w:rPr>
              <w:t>(Criteria checklist)</w:t>
            </w:r>
          </w:p>
          <w:p w:rsidR="00EE33C9" w:rsidRDefault="00EE33C9">
            <w:pPr>
              <w:rPr>
                <w:rFonts w:ascii="Calibri" w:hAnsi="Calibri"/>
                <w:color w:val="262626"/>
              </w:rPr>
            </w:pPr>
            <w:sdt>
              <w:sdtPr>
                <w:id w:val="1273205180"/>
              </w:sdtPr>
              <w:sdtContent>
                <w:r>
                  <w:rPr>
                    <w:rFonts w:ascii="MS Gothic" w:eastAsia="MS Gothic" w:hAnsi="MS Gothic" w:hint="eastAsia"/>
                  </w:rPr>
                  <w:t>☐</w:t>
                </w:r>
              </w:sdtContent>
            </w:sdt>
            <w:r>
              <w:rPr>
                <w:rFonts w:ascii="Calibri" w:hAnsi="Calibri"/>
                <w:color w:val="262626"/>
              </w:rPr>
              <w:t xml:space="preserve"> Is this an </w:t>
            </w:r>
            <w:r>
              <w:rPr>
                <w:rFonts w:ascii="Calibri" w:hAnsi="Calibri"/>
                <w:color w:val="262626"/>
                <w:u w:val="single"/>
              </w:rPr>
              <w:t>unforeseen</w:t>
            </w:r>
            <w:r>
              <w:rPr>
                <w:rFonts w:ascii="Calibri" w:hAnsi="Calibri"/>
                <w:color w:val="262626"/>
              </w:rPr>
              <w:t xml:space="preserve"> opportunity or a genuinely new idea to advance core open society commitments?</w:t>
            </w:r>
          </w:p>
          <w:p w:rsidR="00EE33C9" w:rsidRDefault="00EE33C9">
            <w:pPr>
              <w:rPr>
                <w:rFonts w:ascii="Calibri" w:hAnsi="Calibri"/>
                <w:color w:val="262626"/>
              </w:rPr>
            </w:pPr>
            <w:sdt>
              <w:sdtPr>
                <w:id w:val="1128120576"/>
              </w:sdtPr>
              <w:sdtContent>
                <w:r>
                  <w:rPr>
                    <w:rFonts w:ascii="MS Gothic" w:eastAsia="MS Gothic" w:hAnsi="MS Gothic" w:hint="eastAsia"/>
                  </w:rPr>
                  <w:t>☐</w:t>
                </w:r>
              </w:sdtContent>
            </w:sdt>
            <w:r>
              <w:rPr>
                <w:rFonts w:ascii="Calibri" w:hAnsi="Calibri"/>
                <w:color w:val="262626"/>
              </w:rPr>
              <w:t xml:space="preserve"> Is the need time-sensitive?  </w:t>
            </w:r>
          </w:p>
          <w:p w:rsidR="00EE33C9" w:rsidRDefault="00EE33C9">
            <w:pPr>
              <w:rPr>
                <w:rFonts w:ascii="Calibri" w:hAnsi="Calibri"/>
                <w:color w:val="262626"/>
              </w:rPr>
            </w:pPr>
            <w:sdt>
              <w:sdtPr>
                <w:id w:val="-2042427662"/>
              </w:sdtPr>
              <w:sdtContent>
                <w:r>
                  <w:rPr>
                    <w:rFonts w:ascii="MS Gothic" w:eastAsia="MS Gothic" w:hAnsi="MS Gothic" w:hint="eastAsia"/>
                  </w:rPr>
                  <w:t>☐</w:t>
                </w:r>
              </w:sdtContent>
            </w:sdt>
            <w:r>
              <w:rPr>
                <w:rFonts w:ascii="Calibri" w:hAnsi="Calibri"/>
                <w:color w:val="262626"/>
              </w:rPr>
              <w:t xml:space="preserve"> Are we proposing to do something that others are not doing?  </w:t>
            </w:r>
          </w:p>
          <w:p w:rsidR="00EE33C9" w:rsidRDefault="00EE33C9">
            <w:pPr>
              <w:rPr>
                <w:rFonts w:ascii="Calibri" w:hAnsi="Calibri"/>
                <w:color w:val="262626"/>
              </w:rPr>
            </w:pPr>
            <w:sdt>
              <w:sdtPr>
                <w:id w:val="-985391662"/>
              </w:sdtPr>
              <w:sdtContent>
                <w:r>
                  <w:rPr>
                    <w:rFonts w:ascii="MS Gothic" w:eastAsia="MS Gothic" w:hAnsi="MS Gothic" w:hint="eastAsia"/>
                  </w:rPr>
                  <w:t>☐</w:t>
                </w:r>
              </w:sdtContent>
            </w:sdt>
            <w:r>
              <w:rPr>
                <w:rFonts w:ascii="Calibri" w:hAnsi="Calibri"/>
                <w:color w:val="262626"/>
              </w:rPr>
              <w:t xml:space="preserve"> Is the plan compelling?  </w:t>
            </w:r>
          </w:p>
          <w:p w:rsidR="00EE33C9" w:rsidRDefault="00EE33C9">
            <w:pPr>
              <w:rPr>
                <w:rFonts w:ascii="Calibri" w:hAnsi="Calibri"/>
                <w:color w:val="262626"/>
              </w:rPr>
            </w:pPr>
            <w:sdt>
              <w:sdtPr>
                <w:id w:val="1419915727"/>
              </w:sdtPr>
              <w:sdtContent>
                <w:r>
                  <w:rPr>
                    <w:rFonts w:ascii="MS Gothic" w:eastAsia="MS Gothic" w:hAnsi="MS Gothic" w:hint="eastAsia"/>
                  </w:rPr>
                  <w:t>☐</w:t>
                </w:r>
              </w:sdtContent>
            </w:sdt>
            <w:r>
              <w:rPr>
                <w:rFonts w:ascii="Calibri" w:hAnsi="Calibri"/>
                <w:color w:val="262626"/>
              </w:rPr>
              <w:t xml:space="preserve"> Does the planned activity take good advantage of OSF capacity?  </w:t>
            </w:r>
          </w:p>
          <w:p w:rsidR="00EE33C9" w:rsidRDefault="00EE33C9">
            <w:pPr>
              <w:rPr>
                <w:sz w:val="22"/>
                <w:szCs w:val="22"/>
              </w:rPr>
            </w:pPr>
            <w:sdt>
              <w:sdtPr>
                <w:id w:val="285173104"/>
              </w:sdtPr>
              <w:sdtContent>
                <w:r>
                  <w:rPr>
                    <w:rFonts w:ascii="MS Gothic" w:eastAsia="MS Gothic" w:hAnsi="MS Gothic" w:hint="eastAsia"/>
                  </w:rPr>
                  <w:t>☐</w:t>
                </w:r>
              </w:sdtContent>
            </w:sdt>
            <w:r>
              <w:rPr>
                <w:rFonts w:ascii="Calibri" w:hAnsi="Calibri"/>
                <w:color w:val="262626"/>
              </w:rPr>
              <w:t xml:space="preserve"> Is the team leading the work up to the task?</w:t>
            </w:r>
            <w:r>
              <w:t xml:space="preserve">  </w:t>
            </w:r>
          </w:p>
        </w:tc>
      </w:tr>
      <w:tr w:rsidR="00EE33C9" w:rsidTr="00EE33C9">
        <w:trPr>
          <w:trHeight w:val="511"/>
        </w:trPr>
        <w:tc>
          <w:tcPr>
            <w:tcW w:w="23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spacing w:line="276" w:lineRule="auto"/>
              <w:rPr>
                <w:b/>
                <w:bCs/>
                <w:color w:val="262626"/>
                <w:sz w:val="22"/>
                <w:szCs w:val="22"/>
              </w:rPr>
            </w:pPr>
            <w:r>
              <w:rPr>
                <w:b/>
                <w:bCs/>
                <w:color w:val="262626"/>
              </w:rPr>
              <w:t>Urgency level for grant approval &amp; payments</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EE33C9" w:rsidRDefault="00EE33C9">
            <w:pPr>
              <w:pStyle w:val="ColorfulList-Accent11"/>
              <w:spacing w:after="0" w:line="240" w:lineRule="auto"/>
              <w:ind w:left="0"/>
            </w:pPr>
            <w:sdt>
              <w:sdtPr>
                <w:id w:val="-1431961457"/>
              </w:sdtPr>
              <w:sdtContent>
                <w:r>
                  <w:rPr>
                    <w:rFonts w:ascii="MS Gothic" w:eastAsia="MS Gothic" w:hAnsi="MS Gothic" w:hint="eastAsia"/>
                  </w:rPr>
                  <w:t>☒</w:t>
                </w:r>
              </w:sdtContent>
            </w:sdt>
            <w:r>
              <w:t xml:space="preserve"> </w:t>
            </w:r>
            <w:r>
              <w:rPr>
                <w:b/>
                <w:bCs/>
                <w:u w:val="single"/>
              </w:rPr>
              <w:t>Not</w:t>
            </w:r>
            <w:r>
              <w:t xml:space="preserve"> Rapid Response </w:t>
            </w:r>
          </w:p>
        </w:tc>
        <w:tc>
          <w:tcPr>
            <w:tcW w:w="3661" w:type="dxa"/>
            <w:tcBorders>
              <w:top w:val="nil"/>
              <w:left w:val="nil"/>
              <w:bottom w:val="single" w:sz="8" w:space="0" w:color="auto"/>
              <w:right w:val="single" w:sz="8" w:space="0" w:color="auto"/>
            </w:tcBorders>
            <w:vAlign w:val="center"/>
            <w:hideMark/>
          </w:tcPr>
          <w:p w:rsidR="00EE33C9" w:rsidRDefault="00EE33C9">
            <w:pPr>
              <w:pStyle w:val="ColorfulList-Accent11"/>
              <w:spacing w:after="0" w:line="240" w:lineRule="auto"/>
              <w:ind w:left="0"/>
            </w:pPr>
            <w:r>
              <w:t>  </w:t>
            </w:r>
            <w:sdt>
              <w:sdtPr>
                <w:id w:val="-1454474560"/>
              </w:sdtPr>
              <w:sdtContent>
                <w:r>
                  <w:rPr>
                    <w:rFonts w:ascii="MS Gothic" w:eastAsia="MS Gothic" w:hAnsi="MS Gothic" w:hint="eastAsia"/>
                  </w:rPr>
                  <w:t>☐</w:t>
                </w:r>
              </w:sdtContent>
            </w:sdt>
            <w:r>
              <w:t xml:space="preserve"> Rapid Response </w:t>
            </w:r>
            <w:r>
              <w:rPr>
                <w:i/>
                <w:iCs/>
                <w:color w:val="262626"/>
              </w:rPr>
              <w:t xml:space="preserve">(See procedure on </w:t>
            </w:r>
            <w:hyperlink r:id="rId6" w:history="1">
              <w:r>
                <w:rPr>
                  <w:rStyle w:val="Hyperlink"/>
                  <w:i/>
                  <w:iCs/>
                </w:rPr>
                <w:t>KARL</w:t>
              </w:r>
            </w:hyperlink>
            <w:r>
              <w:rPr>
                <w:i/>
                <w:iCs/>
                <w:color w:val="262626"/>
              </w:rPr>
              <w:t>)</w:t>
            </w:r>
          </w:p>
        </w:tc>
      </w:tr>
      <w:tr w:rsidR="00EE33C9" w:rsidTr="00EE33C9">
        <w:trPr>
          <w:trHeight w:val="287"/>
        </w:trPr>
        <w:tc>
          <w:tcPr>
            <w:tcW w:w="235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33C9" w:rsidRDefault="00EE33C9">
            <w:pPr>
              <w:rPr>
                <w:b/>
                <w:bCs/>
                <w:color w:val="262626"/>
              </w:rPr>
            </w:pPr>
            <w:r>
              <w:rPr>
                <w:b/>
                <w:bCs/>
                <w:color w:val="262626"/>
              </w:rPr>
              <w:t xml:space="preserve">If approved, where to allocate the budget? </w:t>
            </w:r>
          </w:p>
          <w:p w:rsidR="00EE33C9" w:rsidRDefault="00EE33C9">
            <w:pPr>
              <w:spacing w:line="276" w:lineRule="auto"/>
              <w:rPr>
                <w:b/>
                <w:bCs/>
                <w:color w:val="262626"/>
                <w:sz w:val="22"/>
                <w:szCs w:val="22"/>
              </w:rPr>
            </w:pPr>
            <w:r>
              <w:rPr>
                <w:i/>
                <w:iCs/>
                <w:color w:val="262626"/>
              </w:rPr>
              <w:t>(If the budget is split between multiple programs, please copy/paste this section as needed.)</w:t>
            </w: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pStyle w:val="ColorfulList-Accent11"/>
              <w:spacing w:after="0" w:line="240" w:lineRule="auto"/>
              <w:ind w:left="0"/>
            </w:pPr>
            <w:r>
              <w:t>Amount</w:t>
            </w:r>
          </w:p>
        </w:tc>
        <w:tc>
          <w:tcPr>
            <w:tcW w:w="3661" w:type="dxa"/>
            <w:tcBorders>
              <w:top w:val="nil"/>
              <w:left w:val="nil"/>
              <w:bottom w:val="single" w:sz="8" w:space="0" w:color="auto"/>
              <w:right w:val="single" w:sz="8" w:space="0" w:color="auto"/>
            </w:tcBorders>
            <w:hideMark/>
          </w:tcPr>
          <w:p w:rsidR="00EE33C9" w:rsidRDefault="00EE33C9">
            <w:pPr>
              <w:pStyle w:val="ColorfulList-Accent11"/>
              <w:spacing w:after="0" w:line="240" w:lineRule="auto"/>
              <w:ind w:left="0"/>
            </w:pPr>
            <w:r>
              <w:rPr>
                <w:color w:val="FF0000"/>
              </w:rPr>
              <w:t>$2,832,994.84</w:t>
            </w:r>
          </w:p>
        </w:tc>
      </w:tr>
      <w:tr w:rsidR="00EE33C9" w:rsidTr="00EE33C9">
        <w:trPr>
          <w:trHeight w:val="288"/>
        </w:trPr>
        <w:tc>
          <w:tcPr>
            <w:tcW w:w="0" w:type="auto"/>
            <w:vMerge/>
            <w:tcBorders>
              <w:top w:val="nil"/>
              <w:left w:val="single" w:sz="8" w:space="0" w:color="auto"/>
              <w:bottom w:val="single" w:sz="8" w:space="0" w:color="auto"/>
              <w:right w:val="single" w:sz="8" w:space="0" w:color="auto"/>
            </w:tcBorders>
            <w:vAlign w:val="center"/>
            <w:hideMark/>
          </w:tcPr>
          <w:p w:rsidR="00EE33C9" w:rsidRDefault="00EE33C9">
            <w:pPr>
              <w:rPr>
                <w:b/>
                <w:bCs/>
                <w:color w:val="262626"/>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pStyle w:val="ColorfulList-Accent11"/>
              <w:spacing w:after="0" w:line="240" w:lineRule="auto"/>
              <w:ind w:left="0"/>
            </w:pPr>
            <w:r>
              <w:t>Category of Work</w:t>
            </w:r>
          </w:p>
        </w:tc>
        <w:tc>
          <w:tcPr>
            <w:tcW w:w="3661" w:type="dxa"/>
            <w:tcBorders>
              <w:top w:val="nil"/>
              <w:left w:val="nil"/>
              <w:bottom w:val="single" w:sz="8" w:space="0" w:color="auto"/>
              <w:right w:val="single" w:sz="8" w:space="0" w:color="auto"/>
            </w:tcBorders>
            <w:hideMark/>
          </w:tcPr>
          <w:p w:rsidR="00EE33C9" w:rsidRDefault="00EE33C9">
            <w:pPr>
              <w:pStyle w:val="ColorfulList-Accent11"/>
              <w:spacing w:after="0" w:line="240" w:lineRule="auto"/>
              <w:ind w:left="0"/>
            </w:pPr>
            <w:r>
              <w:t>CUA004</w:t>
            </w:r>
          </w:p>
        </w:tc>
      </w:tr>
      <w:tr w:rsidR="00EE33C9" w:rsidTr="00EE33C9">
        <w:trPr>
          <w:trHeight w:val="287"/>
        </w:trPr>
        <w:tc>
          <w:tcPr>
            <w:tcW w:w="0" w:type="auto"/>
            <w:vMerge/>
            <w:tcBorders>
              <w:top w:val="nil"/>
              <w:left w:val="single" w:sz="8" w:space="0" w:color="auto"/>
              <w:bottom w:val="single" w:sz="8" w:space="0" w:color="auto"/>
              <w:right w:val="single" w:sz="8" w:space="0" w:color="auto"/>
            </w:tcBorders>
            <w:vAlign w:val="center"/>
            <w:hideMark/>
          </w:tcPr>
          <w:p w:rsidR="00EE33C9" w:rsidRDefault="00EE33C9">
            <w:pPr>
              <w:rPr>
                <w:b/>
                <w:bCs/>
                <w:color w:val="262626"/>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pStyle w:val="ColorfulList-Accent11"/>
              <w:spacing w:after="0" w:line="240" w:lineRule="auto"/>
              <w:ind w:left="0"/>
            </w:pPr>
            <w:r>
              <w:t>Division/Program Code</w:t>
            </w:r>
          </w:p>
        </w:tc>
        <w:tc>
          <w:tcPr>
            <w:tcW w:w="3661" w:type="dxa"/>
            <w:tcBorders>
              <w:top w:val="nil"/>
              <w:left w:val="nil"/>
              <w:bottom w:val="single" w:sz="8" w:space="0" w:color="auto"/>
              <w:right w:val="single" w:sz="8" w:space="0" w:color="auto"/>
            </w:tcBorders>
            <w:hideMark/>
          </w:tcPr>
          <w:p w:rsidR="00EE33C9" w:rsidRDefault="00EE33C9">
            <w:pPr>
              <w:pStyle w:val="ColorfulList-Accent11"/>
              <w:spacing w:after="0" w:line="240" w:lineRule="auto"/>
              <w:ind w:left="0"/>
            </w:pPr>
            <w:r>
              <w:t>80000</w:t>
            </w:r>
          </w:p>
        </w:tc>
      </w:tr>
      <w:tr w:rsidR="00EE33C9" w:rsidTr="00EE33C9">
        <w:trPr>
          <w:trHeight w:val="288"/>
        </w:trPr>
        <w:tc>
          <w:tcPr>
            <w:tcW w:w="0" w:type="auto"/>
            <w:vMerge/>
            <w:tcBorders>
              <w:top w:val="nil"/>
              <w:left w:val="single" w:sz="8" w:space="0" w:color="auto"/>
              <w:bottom w:val="single" w:sz="8" w:space="0" w:color="auto"/>
              <w:right w:val="single" w:sz="8" w:space="0" w:color="auto"/>
            </w:tcBorders>
            <w:vAlign w:val="center"/>
            <w:hideMark/>
          </w:tcPr>
          <w:p w:rsidR="00EE33C9" w:rsidRDefault="00EE33C9">
            <w:pPr>
              <w:rPr>
                <w:b/>
                <w:bCs/>
                <w:color w:val="262626"/>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pStyle w:val="ColorfulList-Accent11"/>
              <w:spacing w:after="0" w:line="240" w:lineRule="auto"/>
              <w:ind w:left="0"/>
            </w:pPr>
            <w:r>
              <w:t xml:space="preserve">Entity </w:t>
            </w:r>
            <w:r>
              <w:rPr>
                <w:i/>
                <w:iCs/>
              </w:rPr>
              <w:t>(i.e., FPOS, ZUG)</w:t>
            </w:r>
          </w:p>
        </w:tc>
        <w:tc>
          <w:tcPr>
            <w:tcW w:w="3661" w:type="dxa"/>
            <w:tcBorders>
              <w:top w:val="nil"/>
              <w:left w:val="nil"/>
              <w:bottom w:val="single" w:sz="8" w:space="0" w:color="auto"/>
              <w:right w:val="single" w:sz="8" w:space="0" w:color="auto"/>
            </w:tcBorders>
            <w:hideMark/>
          </w:tcPr>
          <w:p w:rsidR="00EE33C9" w:rsidRDefault="00EE33C9">
            <w:pPr>
              <w:pStyle w:val="ColorfulList-Accent11"/>
              <w:spacing w:after="0" w:line="240" w:lineRule="auto"/>
              <w:ind w:left="0"/>
            </w:pPr>
            <w:r>
              <w:t>ZUG</w:t>
            </w:r>
          </w:p>
        </w:tc>
      </w:tr>
      <w:tr w:rsidR="00EE33C9" w:rsidTr="00EE33C9">
        <w:trPr>
          <w:trHeight w:val="287"/>
        </w:trPr>
        <w:tc>
          <w:tcPr>
            <w:tcW w:w="0" w:type="auto"/>
            <w:vMerge/>
            <w:tcBorders>
              <w:top w:val="nil"/>
              <w:left w:val="single" w:sz="8" w:space="0" w:color="auto"/>
              <w:bottom w:val="single" w:sz="8" w:space="0" w:color="auto"/>
              <w:right w:val="single" w:sz="8" w:space="0" w:color="auto"/>
            </w:tcBorders>
            <w:vAlign w:val="center"/>
            <w:hideMark/>
          </w:tcPr>
          <w:p w:rsidR="00EE33C9" w:rsidRDefault="00EE33C9">
            <w:pPr>
              <w:rPr>
                <w:b/>
                <w:bCs/>
                <w:color w:val="262626"/>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pStyle w:val="ColorfulList-Accent11"/>
              <w:spacing w:after="0" w:line="240" w:lineRule="auto"/>
              <w:ind w:left="0"/>
            </w:pPr>
            <w:r>
              <w:t xml:space="preserve">Fund Class </w:t>
            </w:r>
            <w:r>
              <w:rPr>
                <w:i/>
                <w:iCs/>
              </w:rPr>
              <w:t>(i.e., Lobbying/Non-Lobbying)</w:t>
            </w:r>
          </w:p>
        </w:tc>
        <w:tc>
          <w:tcPr>
            <w:tcW w:w="3661" w:type="dxa"/>
            <w:tcBorders>
              <w:top w:val="nil"/>
              <w:left w:val="nil"/>
              <w:bottom w:val="single" w:sz="8" w:space="0" w:color="auto"/>
              <w:right w:val="single" w:sz="8" w:space="0" w:color="auto"/>
            </w:tcBorders>
            <w:hideMark/>
          </w:tcPr>
          <w:p w:rsidR="00EE33C9" w:rsidRDefault="00EE33C9">
            <w:pPr>
              <w:pStyle w:val="ColorfulList-Accent11"/>
              <w:spacing w:after="0" w:line="240" w:lineRule="auto"/>
              <w:ind w:left="0"/>
            </w:pPr>
            <w:r>
              <w:t>Lobbying</w:t>
            </w:r>
          </w:p>
        </w:tc>
      </w:tr>
      <w:tr w:rsidR="00EE33C9" w:rsidTr="00EE33C9">
        <w:trPr>
          <w:trHeight w:val="288"/>
        </w:trPr>
        <w:tc>
          <w:tcPr>
            <w:tcW w:w="0" w:type="auto"/>
            <w:vMerge/>
            <w:tcBorders>
              <w:top w:val="nil"/>
              <w:left w:val="single" w:sz="8" w:space="0" w:color="auto"/>
              <w:bottom w:val="single" w:sz="8" w:space="0" w:color="auto"/>
              <w:right w:val="single" w:sz="8" w:space="0" w:color="auto"/>
            </w:tcBorders>
            <w:vAlign w:val="center"/>
            <w:hideMark/>
          </w:tcPr>
          <w:p w:rsidR="00EE33C9" w:rsidRDefault="00EE33C9">
            <w:pPr>
              <w:rPr>
                <w:b/>
                <w:bCs/>
                <w:color w:val="262626"/>
                <w:sz w:val="22"/>
                <w:szCs w:val="22"/>
              </w:rPr>
            </w:pPr>
          </w:p>
        </w:tc>
        <w:tc>
          <w:tcPr>
            <w:tcW w:w="35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EE33C9" w:rsidRDefault="00EE33C9">
            <w:pPr>
              <w:pStyle w:val="ColorfulList-Accent11"/>
              <w:spacing w:after="0" w:line="240" w:lineRule="auto"/>
              <w:ind w:left="0"/>
            </w:pPr>
            <w:r>
              <w:t xml:space="preserve">Geography </w:t>
            </w:r>
            <w:r>
              <w:rPr>
                <w:i/>
                <w:iCs/>
              </w:rPr>
              <w:t>(of benefit)</w:t>
            </w:r>
          </w:p>
        </w:tc>
        <w:tc>
          <w:tcPr>
            <w:tcW w:w="3661" w:type="dxa"/>
            <w:tcBorders>
              <w:top w:val="nil"/>
              <w:left w:val="nil"/>
              <w:bottom w:val="single" w:sz="8" w:space="0" w:color="auto"/>
              <w:right w:val="single" w:sz="8" w:space="0" w:color="auto"/>
            </w:tcBorders>
            <w:hideMark/>
          </w:tcPr>
          <w:p w:rsidR="00EE33C9" w:rsidRDefault="00EE33C9">
            <w:pPr>
              <w:pStyle w:val="ColorfulList-Accent11"/>
              <w:spacing w:after="0" w:line="240" w:lineRule="auto"/>
              <w:ind w:left="0"/>
            </w:pPr>
            <w:r>
              <w:t>UKRF</w:t>
            </w:r>
          </w:p>
        </w:tc>
      </w:tr>
    </w:tbl>
    <w:p w:rsidR="001335B6" w:rsidRDefault="001335B6"/>
    <w:sectPr w:rsidR="00133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C9"/>
    <w:rsid w:val="001335B6"/>
    <w:rsid w:val="00EE3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33C9"/>
    <w:rPr>
      <w:color w:val="0000FF"/>
      <w:u w:val="single"/>
    </w:rPr>
  </w:style>
  <w:style w:type="paragraph" w:customStyle="1" w:styleId="ColorfulList-Accent11">
    <w:name w:val="Colorful List - Accent 11"/>
    <w:basedOn w:val="Normal"/>
    <w:uiPriority w:val="34"/>
    <w:rsid w:val="00EE33C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E33C9"/>
    <w:rPr>
      <w:rFonts w:ascii="Tahoma" w:hAnsi="Tahoma" w:cs="Tahoma"/>
      <w:sz w:val="16"/>
      <w:szCs w:val="16"/>
    </w:rPr>
  </w:style>
  <w:style w:type="character" w:customStyle="1" w:styleId="BalloonTextChar">
    <w:name w:val="Balloon Text Char"/>
    <w:basedOn w:val="DefaultParagraphFont"/>
    <w:link w:val="BalloonText"/>
    <w:uiPriority w:val="99"/>
    <w:semiHidden/>
    <w:rsid w:val="00EE33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3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33C9"/>
    <w:rPr>
      <w:color w:val="0000FF"/>
      <w:u w:val="single"/>
    </w:rPr>
  </w:style>
  <w:style w:type="paragraph" w:customStyle="1" w:styleId="ColorfulList-Accent11">
    <w:name w:val="Colorful List - Accent 11"/>
    <w:basedOn w:val="Normal"/>
    <w:uiPriority w:val="34"/>
    <w:rsid w:val="00EE33C9"/>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E33C9"/>
    <w:rPr>
      <w:rFonts w:ascii="Tahoma" w:hAnsi="Tahoma" w:cs="Tahoma"/>
      <w:sz w:val="16"/>
      <w:szCs w:val="16"/>
    </w:rPr>
  </w:style>
  <w:style w:type="character" w:customStyle="1" w:styleId="BalloonTextChar">
    <w:name w:val="Balloon Text Char"/>
    <w:basedOn w:val="DefaultParagraphFont"/>
    <w:link w:val="BalloonText"/>
    <w:uiPriority w:val="99"/>
    <w:semiHidden/>
    <w:rsid w:val="00EE3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03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karl.soros.org/communities/reserves/files/ii.-policies/rapid-response-as-of-10-november-2014.docx/" TargetMode="External"/><Relationship Id="rId5" Type="http://schemas.openxmlformats.org/officeDocument/2006/relationships/hyperlink" Target="https://karl.soros.org/communities/reserves/view.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OSF</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Lutoshkina</dc:creator>
  <cp:lastModifiedBy>Alexandra Lutoshkina</cp:lastModifiedBy>
  <cp:revision>1</cp:revision>
  <dcterms:created xsi:type="dcterms:W3CDTF">2015-12-01T18:44:00Z</dcterms:created>
  <dcterms:modified xsi:type="dcterms:W3CDTF">2015-12-01T18:55:00Z</dcterms:modified>
</cp:coreProperties>
</file>