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359"/>
        <w:gridCol w:w="1594"/>
        <w:gridCol w:w="1962"/>
        <w:gridCol w:w="3661"/>
      </w:tblGrid>
      <w:tr w:rsidR="00EB660F" w:rsidRPr="00EB660F" w14:paraId="58289E2C" w14:textId="77777777" w:rsidTr="00701452">
        <w:trPr>
          <w:trHeight w:val="350"/>
        </w:trPr>
        <w:tc>
          <w:tcPr>
            <w:tcW w:w="2359" w:type="dxa"/>
            <w:tcMar>
              <w:top w:w="0" w:type="dxa"/>
              <w:left w:w="108" w:type="dxa"/>
              <w:bottom w:w="0" w:type="dxa"/>
              <w:right w:w="108" w:type="dxa"/>
            </w:tcMar>
            <w:hideMark/>
          </w:tcPr>
          <w:p w14:paraId="541DEE0D" w14:textId="77777777" w:rsidR="0042545F" w:rsidRPr="00EB660F" w:rsidRDefault="0042545F" w:rsidP="00657820">
            <w:pPr>
              <w:spacing w:after="0"/>
              <w:rPr>
                <w:b/>
                <w:bCs/>
                <w:color w:val="000000" w:themeColor="text1"/>
                <w:sz w:val="20"/>
                <w:szCs w:val="20"/>
              </w:rPr>
            </w:pPr>
            <w:r w:rsidRPr="00EB660F">
              <w:rPr>
                <w:b/>
                <w:bCs/>
                <w:color w:val="000000" w:themeColor="text1"/>
                <w:sz w:val="20"/>
                <w:szCs w:val="20"/>
              </w:rPr>
              <w:t>Proposal Title</w:t>
            </w:r>
          </w:p>
        </w:tc>
        <w:tc>
          <w:tcPr>
            <w:tcW w:w="7217" w:type="dxa"/>
            <w:gridSpan w:val="3"/>
            <w:tcMar>
              <w:top w:w="0" w:type="dxa"/>
              <w:left w:w="108" w:type="dxa"/>
              <w:bottom w:w="0" w:type="dxa"/>
              <w:right w:w="108" w:type="dxa"/>
            </w:tcMar>
          </w:tcPr>
          <w:p w14:paraId="1B42439D" w14:textId="77777777" w:rsidR="0042545F" w:rsidRPr="00EB660F" w:rsidRDefault="00B55384" w:rsidP="00657820">
            <w:pPr>
              <w:spacing w:after="0"/>
              <w:rPr>
                <w:color w:val="000000" w:themeColor="text1"/>
                <w:sz w:val="20"/>
                <w:szCs w:val="20"/>
              </w:rPr>
            </w:pPr>
            <w:r w:rsidRPr="00EB660F">
              <w:rPr>
                <w:color w:val="000000" w:themeColor="text1"/>
                <w:sz w:val="20"/>
                <w:szCs w:val="20"/>
              </w:rPr>
              <w:t xml:space="preserve">Defending Iran Nuclear Diplomacy </w:t>
            </w:r>
          </w:p>
        </w:tc>
      </w:tr>
      <w:tr w:rsidR="00EB660F" w:rsidRPr="00EB660F" w14:paraId="01005D6E" w14:textId="77777777" w:rsidTr="00701452">
        <w:trPr>
          <w:trHeight w:val="20"/>
        </w:trPr>
        <w:tc>
          <w:tcPr>
            <w:tcW w:w="2359" w:type="dxa"/>
            <w:tcMar>
              <w:top w:w="0" w:type="dxa"/>
              <w:left w:w="108" w:type="dxa"/>
              <w:bottom w:w="0" w:type="dxa"/>
              <w:right w:w="108" w:type="dxa"/>
            </w:tcMar>
            <w:hideMark/>
          </w:tcPr>
          <w:p w14:paraId="2948EA68" w14:textId="77777777" w:rsidR="0042545F" w:rsidRPr="00EB660F" w:rsidRDefault="0042545F" w:rsidP="00657820">
            <w:pPr>
              <w:spacing w:after="0"/>
              <w:rPr>
                <w:b/>
                <w:bCs/>
                <w:color w:val="000000" w:themeColor="text1"/>
                <w:sz w:val="20"/>
                <w:szCs w:val="20"/>
              </w:rPr>
            </w:pPr>
            <w:r w:rsidRPr="00EB660F">
              <w:rPr>
                <w:b/>
                <w:bCs/>
                <w:color w:val="000000" w:themeColor="text1"/>
                <w:sz w:val="20"/>
                <w:szCs w:val="20"/>
              </w:rPr>
              <w:t>Reserve Fund</w:t>
            </w:r>
          </w:p>
        </w:tc>
        <w:tc>
          <w:tcPr>
            <w:tcW w:w="7217" w:type="dxa"/>
            <w:gridSpan w:val="3"/>
            <w:tcMar>
              <w:top w:w="0" w:type="dxa"/>
              <w:left w:w="108" w:type="dxa"/>
              <w:bottom w:w="0" w:type="dxa"/>
              <w:right w:w="108" w:type="dxa"/>
            </w:tcMar>
          </w:tcPr>
          <w:p w14:paraId="6D556B40" w14:textId="77777777" w:rsidR="0042545F" w:rsidRPr="00EB660F" w:rsidRDefault="00B55384" w:rsidP="00657820">
            <w:pPr>
              <w:spacing w:after="0"/>
              <w:rPr>
                <w:color w:val="000000" w:themeColor="text1"/>
                <w:sz w:val="20"/>
                <w:szCs w:val="20"/>
              </w:rPr>
            </w:pPr>
            <w:r w:rsidRPr="00EB660F">
              <w:rPr>
                <w:color w:val="000000" w:themeColor="text1"/>
                <w:sz w:val="20"/>
                <w:szCs w:val="20"/>
              </w:rPr>
              <w:t>President’s and Chairman’s Reserve Fund</w:t>
            </w:r>
          </w:p>
        </w:tc>
      </w:tr>
      <w:tr w:rsidR="00EB660F" w:rsidRPr="00EB660F" w14:paraId="6A0BFD87" w14:textId="77777777" w:rsidTr="00701452">
        <w:trPr>
          <w:trHeight w:val="20"/>
        </w:trPr>
        <w:tc>
          <w:tcPr>
            <w:tcW w:w="2359" w:type="dxa"/>
            <w:tcMar>
              <w:top w:w="0" w:type="dxa"/>
              <w:left w:w="108" w:type="dxa"/>
              <w:bottom w:w="0" w:type="dxa"/>
              <w:right w:w="108" w:type="dxa"/>
            </w:tcMar>
          </w:tcPr>
          <w:p w14:paraId="060CFD16" w14:textId="77777777" w:rsidR="00EA7C56" w:rsidRPr="00EB660F" w:rsidRDefault="00EA7C56" w:rsidP="00657820">
            <w:pPr>
              <w:spacing w:after="0"/>
              <w:rPr>
                <w:b/>
                <w:bCs/>
                <w:color w:val="000000" w:themeColor="text1"/>
                <w:sz w:val="20"/>
                <w:szCs w:val="20"/>
              </w:rPr>
            </w:pPr>
            <w:r w:rsidRPr="00EB660F">
              <w:rPr>
                <w:b/>
                <w:bCs/>
                <w:color w:val="000000" w:themeColor="text1"/>
                <w:sz w:val="20"/>
                <w:szCs w:val="20"/>
              </w:rPr>
              <w:t>Amount Requested</w:t>
            </w:r>
          </w:p>
        </w:tc>
        <w:tc>
          <w:tcPr>
            <w:tcW w:w="7217" w:type="dxa"/>
            <w:gridSpan w:val="3"/>
            <w:tcMar>
              <w:top w:w="0" w:type="dxa"/>
              <w:left w:w="108" w:type="dxa"/>
              <w:bottom w:w="0" w:type="dxa"/>
              <w:right w:w="108" w:type="dxa"/>
            </w:tcMar>
          </w:tcPr>
          <w:p w14:paraId="3B55EA58" w14:textId="77777777" w:rsidR="00EA7C56" w:rsidRPr="00EB660F" w:rsidRDefault="001035D5" w:rsidP="00657820">
            <w:pPr>
              <w:spacing w:after="0"/>
              <w:rPr>
                <w:color w:val="000000" w:themeColor="text1"/>
                <w:sz w:val="20"/>
                <w:szCs w:val="20"/>
              </w:rPr>
            </w:pPr>
            <w:r>
              <w:rPr>
                <w:color w:val="000000" w:themeColor="text1"/>
                <w:sz w:val="20"/>
                <w:szCs w:val="20"/>
              </w:rPr>
              <w:t>$</w:t>
            </w:r>
            <w:r w:rsidR="00B55384" w:rsidRPr="00EB660F">
              <w:rPr>
                <w:color w:val="000000" w:themeColor="text1"/>
                <w:sz w:val="20"/>
                <w:szCs w:val="20"/>
              </w:rPr>
              <w:t>750,000</w:t>
            </w:r>
          </w:p>
        </w:tc>
      </w:tr>
      <w:tr w:rsidR="00EB660F" w:rsidRPr="00EB660F" w14:paraId="4737BC18" w14:textId="77777777" w:rsidTr="00701452">
        <w:trPr>
          <w:trHeight w:val="20"/>
        </w:trPr>
        <w:tc>
          <w:tcPr>
            <w:tcW w:w="2359" w:type="dxa"/>
            <w:tcMar>
              <w:top w:w="0" w:type="dxa"/>
              <w:left w:w="108" w:type="dxa"/>
              <w:bottom w:w="0" w:type="dxa"/>
              <w:right w:w="108" w:type="dxa"/>
            </w:tcMar>
          </w:tcPr>
          <w:p w14:paraId="690A1089" w14:textId="77777777" w:rsidR="00DA5D66" w:rsidRPr="00EB660F" w:rsidRDefault="00DA5D66" w:rsidP="00657820">
            <w:pPr>
              <w:spacing w:after="0"/>
              <w:rPr>
                <w:b/>
                <w:bCs/>
                <w:color w:val="000000" w:themeColor="text1"/>
                <w:sz w:val="20"/>
                <w:szCs w:val="20"/>
              </w:rPr>
            </w:pPr>
            <w:r w:rsidRPr="00EB660F">
              <w:rPr>
                <w:b/>
                <w:bCs/>
                <w:color w:val="000000" w:themeColor="text1"/>
                <w:sz w:val="20"/>
                <w:szCs w:val="20"/>
              </w:rPr>
              <w:t>Detail on Amount Requested (Optional)</w:t>
            </w:r>
          </w:p>
        </w:tc>
        <w:tc>
          <w:tcPr>
            <w:tcW w:w="7217" w:type="dxa"/>
            <w:gridSpan w:val="3"/>
            <w:tcMar>
              <w:top w:w="0" w:type="dxa"/>
              <w:left w:w="108" w:type="dxa"/>
              <w:bottom w:w="0" w:type="dxa"/>
              <w:right w:w="108" w:type="dxa"/>
            </w:tcMar>
          </w:tcPr>
          <w:p w14:paraId="42295892" w14:textId="77777777" w:rsidR="00DA5D66" w:rsidRPr="00EB660F" w:rsidRDefault="009C167A" w:rsidP="009C167A">
            <w:pPr>
              <w:spacing w:after="0"/>
              <w:rPr>
                <w:color w:val="000000" w:themeColor="text1"/>
                <w:sz w:val="20"/>
                <w:szCs w:val="20"/>
              </w:rPr>
            </w:pPr>
            <w:r>
              <w:rPr>
                <w:color w:val="000000" w:themeColor="text1"/>
                <w:sz w:val="20"/>
                <w:szCs w:val="20"/>
              </w:rPr>
              <w:t>Funds will be distributed via smaller grants by Ploughshares Fund to members of the coalition convened by Ploughshares.</w:t>
            </w:r>
          </w:p>
        </w:tc>
      </w:tr>
      <w:tr w:rsidR="00EB660F" w:rsidRPr="00EB660F" w14:paraId="4F210AEF" w14:textId="77777777" w:rsidTr="00701452">
        <w:trPr>
          <w:trHeight w:val="20"/>
        </w:trPr>
        <w:tc>
          <w:tcPr>
            <w:tcW w:w="2359" w:type="dxa"/>
            <w:tcMar>
              <w:top w:w="0" w:type="dxa"/>
              <w:left w:w="108" w:type="dxa"/>
              <w:bottom w:w="0" w:type="dxa"/>
              <w:right w:w="108" w:type="dxa"/>
            </w:tcMar>
          </w:tcPr>
          <w:p w14:paraId="4037C381" w14:textId="77777777" w:rsidR="000F10A2" w:rsidRPr="00EB660F" w:rsidRDefault="000F10A2" w:rsidP="00277B43">
            <w:pPr>
              <w:spacing w:after="0"/>
              <w:rPr>
                <w:b/>
                <w:bCs/>
                <w:color w:val="000000" w:themeColor="text1"/>
                <w:sz w:val="20"/>
                <w:szCs w:val="20"/>
              </w:rPr>
            </w:pPr>
            <w:r w:rsidRPr="00EB660F">
              <w:rPr>
                <w:b/>
                <w:bCs/>
                <w:color w:val="000000" w:themeColor="text1"/>
                <w:sz w:val="20"/>
                <w:szCs w:val="20"/>
              </w:rPr>
              <w:t>Background</w:t>
            </w:r>
            <w:r w:rsidR="00277B43" w:rsidRPr="00EB660F">
              <w:rPr>
                <w:b/>
                <w:bCs/>
                <w:color w:val="000000" w:themeColor="text1"/>
                <w:sz w:val="20"/>
                <w:szCs w:val="20"/>
              </w:rPr>
              <w:t xml:space="preserve"> (Optional)</w:t>
            </w:r>
          </w:p>
        </w:tc>
        <w:tc>
          <w:tcPr>
            <w:tcW w:w="7217" w:type="dxa"/>
            <w:gridSpan w:val="3"/>
            <w:tcMar>
              <w:top w:w="0" w:type="dxa"/>
              <w:left w:w="108" w:type="dxa"/>
              <w:bottom w:w="0" w:type="dxa"/>
              <w:right w:w="108" w:type="dxa"/>
            </w:tcMar>
          </w:tcPr>
          <w:p w14:paraId="3653FD16" w14:textId="0EB417A6" w:rsidR="000F10A2" w:rsidRPr="00EB660F" w:rsidRDefault="009C167A" w:rsidP="009C167A">
            <w:pPr>
              <w:spacing w:after="0"/>
              <w:rPr>
                <w:color w:val="000000" w:themeColor="text1"/>
                <w:sz w:val="20"/>
                <w:szCs w:val="20"/>
                <w:lang w:val="pt-BR"/>
              </w:rPr>
            </w:pPr>
            <w:r>
              <w:rPr>
                <w:color w:val="000000" w:themeColor="text1"/>
                <w:sz w:val="20"/>
                <w:szCs w:val="20"/>
                <w:lang w:val="pt-BR"/>
              </w:rPr>
              <w:t xml:space="preserve">The Ploughshares Fund campaign evolved from an effort initiated by OSF and OSPC  grantees initiated in 2007. </w:t>
            </w:r>
            <w:r w:rsidR="0025609C">
              <w:rPr>
                <w:color w:val="000000" w:themeColor="text1"/>
                <w:sz w:val="20"/>
                <w:szCs w:val="20"/>
                <w:lang w:val="pt-BR"/>
              </w:rPr>
              <w:t xml:space="preserve">We have supported their work in recent years. </w:t>
            </w:r>
          </w:p>
        </w:tc>
      </w:tr>
      <w:tr w:rsidR="00EB660F" w:rsidRPr="00EB660F" w14:paraId="3F77A338" w14:textId="77777777" w:rsidTr="00701452">
        <w:trPr>
          <w:trHeight w:val="20"/>
        </w:trPr>
        <w:tc>
          <w:tcPr>
            <w:tcW w:w="2359" w:type="dxa"/>
            <w:tcMar>
              <w:top w:w="0" w:type="dxa"/>
              <w:left w:w="108" w:type="dxa"/>
              <w:bottom w:w="0" w:type="dxa"/>
              <w:right w:w="108" w:type="dxa"/>
            </w:tcMar>
          </w:tcPr>
          <w:p w14:paraId="41AD59C7" w14:textId="77777777" w:rsidR="000F10A2" w:rsidRPr="00EB660F" w:rsidRDefault="000F10A2" w:rsidP="00277B43">
            <w:pPr>
              <w:spacing w:after="0"/>
              <w:rPr>
                <w:b/>
                <w:bCs/>
                <w:color w:val="000000" w:themeColor="text1"/>
                <w:sz w:val="20"/>
                <w:szCs w:val="20"/>
              </w:rPr>
            </w:pPr>
            <w:r w:rsidRPr="00EB660F">
              <w:rPr>
                <w:b/>
                <w:bCs/>
                <w:color w:val="000000" w:themeColor="text1"/>
                <w:sz w:val="20"/>
                <w:szCs w:val="20"/>
              </w:rPr>
              <w:t>Risks</w:t>
            </w:r>
            <w:r w:rsidR="00277B43" w:rsidRPr="00EB660F">
              <w:rPr>
                <w:b/>
                <w:bCs/>
                <w:color w:val="000000" w:themeColor="text1"/>
                <w:sz w:val="20"/>
                <w:szCs w:val="20"/>
              </w:rPr>
              <w:t xml:space="preserve"> (Optional)</w:t>
            </w:r>
          </w:p>
        </w:tc>
        <w:tc>
          <w:tcPr>
            <w:tcW w:w="7217" w:type="dxa"/>
            <w:gridSpan w:val="3"/>
            <w:tcMar>
              <w:top w:w="0" w:type="dxa"/>
              <w:left w:w="108" w:type="dxa"/>
              <w:bottom w:w="0" w:type="dxa"/>
              <w:right w:w="108" w:type="dxa"/>
            </w:tcMar>
          </w:tcPr>
          <w:p w14:paraId="3259F0CC" w14:textId="64BB0BE8" w:rsidR="000F10A2" w:rsidRPr="00EB660F" w:rsidRDefault="009C167A" w:rsidP="001035D5">
            <w:pPr>
              <w:spacing w:after="0"/>
              <w:rPr>
                <w:color w:val="000000" w:themeColor="text1"/>
                <w:sz w:val="20"/>
                <w:szCs w:val="20"/>
                <w:lang w:val="pt-BR"/>
              </w:rPr>
            </w:pPr>
            <w:r>
              <w:rPr>
                <w:color w:val="000000" w:themeColor="text1"/>
                <w:sz w:val="20"/>
                <w:szCs w:val="20"/>
                <w:lang w:val="pt-BR"/>
              </w:rPr>
              <w:t>One potential risk is that unfor</w:t>
            </w:r>
            <w:r w:rsidR="00AF6620">
              <w:rPr>
                <w:color w:val="000000" w:themeColor="text1"/>
                <w:sz w:val="20"/>
                <w:szCs w:val="20"/>
                <w:lang w:val="pt-BR"/>
              </w:rPr>
              <w:t>e</w:t>
            </w:r>
            <w:r>
              <w:rPr>
                <w:color w:val="000000" w:themeColor="text1"/>
                <w:sz w:val="20"/>
                <w:szCs w:val="20"/>
                <w:lang w:val="pt-BR"/>
              </w:rPr>
              <w:t xml:space="preserve">seen events or actions by </w:t>
            </w:r>
            <w:r w:rsidR="001035D5">
              <w:rPr>
                <w:color w:val="000000" w:themeColor="text1"/>
                <w:sz w:val="20"/>
                <w:szCs w:val="20"/>
                <w:lang w:val="pt-BR"/>
              </w:rPr>
              <w:t xml:space="preserve">opponents </w:t>
            </w:r>
            <w:r>
              <w:rPr>
                <w:color w:val="000000" w:themeColor="text1"/>
                <w:sz w:val="20"/>
                <w:szCs w:val="20"/>
                <w:lang w:val="pt-BR"/>
              </w:rPr>
              <w:t>in the US, Iran</w:t>
            </w:r>
            <w:r w:rsidR="001035D5">
              <w:rPr>
                <w:color w:val="000000" w:themeColor="text1"/>
                <w:sz w:val="20"/>
                <w:szCs w:val="20"/>
                <w:lang w:val="pt-BR"/>
              </w:rPr>
              <w:t>, Saudi Arabia</w:t>
            </w:r>
            <w:r>
              <w:rPr>
                <w:color w:val="000000" w:themeColor="text1"/>
                <w:sz w:val="20"/>
                <w:szCs w:val="20"/>
                <w:lang w:val="pt-BR"/>
              </w:rPr>
              <w:t xml:space="preserve"> or Israel somehow make a deal impossible before the grant is fully implemented.  Another</w:t>
            </w:r>
            <w:r w:rsidRPr="00EB660F">
              <w:rPr>
                <w:color w:val="000000" w:themeColor="text1"/>
                <w:sz w:val="20"/>
                <w:szCs w:val="20"/>
                <w:lang w:val="pt-BR"/>
              </w:rPr>
              <w:t xml:space="preserve"> potential risk is that negotiations on an accord or implementation phases  extend beyond timeframe of the grant</w:t>
            </w:r>
            <w:r>
              <w:rPr>
                <w:color w:val="000000" w:themeColor="text1"/>
                <w:sz w:val="20"/>
                <w:szCs w:val="20"/>
                <w:lang w:val="pt-BR"/>
              </w:rPr>
              <w:t>,</w:t>
            </w:r>
            <w:r w:rsidRPr="00EB660F">
              <w:rPr>
                <w:color w:val="000000" w:themeColor="text1"/>
                <w:sz w:val="20"/>
                <w:szCs w:val="20"/>
                <w:lang w:val="pt-BR"/>
              </w:rPr>
              <w:t xml:space="preserve"> and opportunities to derail diplomacy</w:t>
            </w:r>
            <w:r>
              <w:rPr>
                <w:color w:val="000000" w:themeColor="text1"/>
                <w:sz w:val="20"/>
                <w:szCs w:val="20"/>
                <w:lang w:val="pt-BR"/>
              </w:rPr>
              <w:t xml:space="preserve"> persist after</w:t>
            </w:r>
            <w:r w:rsidRPr="00EB660F">
              <w:rPr>
                <w:color w:val="000000" w:themeColor="text1"/>
                <w:sz w:val="20"/>
                <w:szCs w:val="20"/>
                <w:lang w:val="pt-BR"/>
              </w:rPr>
              <w:t xml:space="preserve"> resources might have been expended.</w:t>
            </w:r>
            <w:r>
              <w:rPr>
                <w:color w:val="000000" w:themeColor="text1"/>
                <w:sz w:val="20"/>
                <w:szCs w:val="20"/>
                <w:lang w:val="pt-BR"/>
              </w:rPr>
              <w:t xml:space="preserve">  </w:t>
            </w:r>
          </w:p>
        </w:tc>
      </w:tr>
      <w:tr w:rsidR="00EB660F" w:rsidRPr="00EB660F" w14:paraId="5A92299E" w14:textId="77777777" w:rsidTr="00701452">
        <w:trPr>
          <w:trHeight w:val="20"/>
        </w:trPr>
        <w:tc>
          <w:tcPr>
            <w:tcW w:w="2359" w:type="dxa"/>
            <w:tcMar>
              <w:top w:w="0" w:type="dxa"/>
              <w:left w:w="108" w:type="dxa"/>
              <w:bottom w:w="0" w:type="dxa"/>
              <w:right w:w="108" w:type="dxa"/>
            </w:tcMar>
          </w:tcPr>
          <w:p w14:paraId="6BBD5E67" w14:textId="77777777" w:rsidR="000F10A2" w:rsidRPr="00EB660F" w:rsidRDefault="000F10A2" w:rsidP="00BD195E">
            <w:pPr>
              <w:spacing w:after="0"/>
              <w:rPr>
                <w:b/>
                <w:bCs/>
                <w:color w:val="000000" w:themeColor="text1"/>
                <w:sz w:val="20"/>
                <w:szCs w:val="20"/>
              </w:rPr>
            </w:pPr>
            <w:r w:rsidRPr="00EB660F">
              <w:rPr>
                <w:b/>
                <w:bCs/>
                <w:color w:val="000000" w:themeColor="text1"/>
                <w:sz w:val="20"/>
                <w:szCs w:val="20"/>
              </w:rPr>
              <w:t>Unforeseen Need (250 words)</w:t>
            </w:r>
          </w:p>
        </w:tc>
        <w:tc>
          <w:tcPr>
            <w:tcW w:w="7217" w:type="dxa"/>
            <w:gridSpan w:val="3"/>
            <w:tcMar>
              <w:top w:w="0" w:type="dxa"/>
              <w:left w:w="108" w:type="dxa"/>
              <w:bottom w:w="0" w:type="dxa"/>
              <w:right w:w="108" w:type="dxa"/>
            </w:tcMar>
          </w:tcPr>
          <w:p w14:paraId="5ADB850F" w14:textId="236411B6" w:rsidR="00B55384" w:rsidRPr="00EB660F" w:rsidRDefault="00B55384" w:rsidP="0025609C">
            <w:pPr>
              <w:rPr>
                <w:color w:val="000000" w:themeColor="text1"/>
                <w:sz w:val="20"/>
                <w:szCs w:val="20"/>
                <w:lang w:val="pt-BR"/>
              </w:rPr>
            </w:pPr>
            <w:r w:rsidRPr="00EB660F">
              <w:rPr>
                <w:color w:val="000000" w:themeColor="text1"/>
                <w:sz w:val="20"/>
                <w:szCs w:val="20"/>
                <w:lang w:val="pt-BR"/>
              </w:rPr>
              <w:t>In April 2015, the United States, Russia, China, France, UK and German</w:t>
            </w:r>
            <w:r w:rsidR="008E1081">
              <w:rPr>
                <w:color w:val="000000" w:themeColor="text1"/>
                <w:sz w:val="20"/>
                <w:szCs w:val="20"/>
                <w:lang w:val="pt-BR"/>
              </w:rPr>
              <w:t>y</w:t>
            </w:r>
            <w:r w:rsidRPr="00EB660F">
              <w:rPr>
                <w:color w:val="000000" w:themeColor="text1"/>
                <w:sz w:val="20"/>
                <w:szCs w:val="20"/>
                <w:lang w:val="pt-BR"/>
              </w:rPr>
              <w:t xml:space="preserve"> agreed with Iran on a comprehensive framework to constrain Iran’s nuclear program in exchange for relieving economic sanctions.  </w:t>
            </w:r>
            <w:r w:rsidR="0025609C">
              <w:rPr>
                <w:color w:val="000000" w:themeColor="text1"/>
                <w:sz w:val="20"/>
                <w:szCs w:val="20"/>
                <w:lang w:val="pt-BR"/>
              </w:rPr>
              <w:t>The</w:t>
            </w:r>
            <w:r w:rsidR="0025609C" w:rsidRPr="001035D5">
              <w:rPr>
                <w:color w:val="000000" w:themeColor="text1"/>
                <w:sz w:val="20"/>
                <w:szCs w:val="20"/>
                <w:lang w:val="pt-BR"/>
              </w:rPr>
              <w:t xml:space="preserve"> negotiations have been going on for years now,</w:t>
            </w:r>
            <w:r w:rsidR="0025609C">
              <w:rPr>
                <w:color w:val="000000" w:themeColor="text1"/>
                <w:sz w:val="20"/>
                <w:szCs w:val="20"/>
                <w:lang w:val="pt-BR"/>
              </w:rPr>
              <w:t xml:space="preserve"> yet the likelihood </w:t>
            </w:r>
            <w:r w:rsidR="0025609C" w:rsidRPr="001035D5">
              <w:rPr>
                <w:color w:val="000000" w:themeColor="text1"/>
                <w:sz w:val="20"/>
                <w:szCs w:val="20"/>
                <w:lang w:val="pt-BR"/>
              </w:rPr>
              <w:t xml:space="preserve">that a good deal could be concluded </w:t>
            </w:r>
            <w:r w:rsidR="0025609C">
              <w:rPr>
                <w:color w:val="000000" w:themeColor="text1"/>
                <w:sz w:val="20"/>
                <w:szCs w:val="20"/>
                <w:lang w:val="pt-BR"/>
              </w:rPr>
              <w:t>by June 30th</w:t>
            </w:r>
            <w:r w:rsidR="0025609C" w:rsidRPr="001035D5">
              <w:rPr>
                <w:color w:val="000000" w:themeColor="text1"/>
                <w:sz w:val="20"/>
                <w:szCs w:val="20"/>
                <w:lang w:val="pt-BR"/>
              </w:rPr>
              <w:t xml:space="preserve"> </w:t>
            </w:r>
            <w:r w:rsidR="0025609C">
              <w:rPr>
                <w:color w:val="000000" w:themeColor="text1"/>
                <w:sz w:val="20"/>
                <w:szCs w:val="20"/>
                <w:lang w:val="pt-BR"/>
              </w:rPr>
              <w:t xml:space="preserve">has just emerged and was not foreseen in our </w:t>
            </w:r>
            <w:r w:rsidR="0025609C">
              <w:t>strategy</w:t>
            </w:r>
            <w:r w:rsidR="0025609C" w:rsidRPr="001035D5">
              <w:rPr>
                <w:color w:val="000000" w:themeColor="text1"/>
                <w:sz w:val="20"/>
                <w:szCs w:val="20"/>
                <w:lang w:val="pt-BR"/>
              </w:rPr>
              <w:t xml:space="preserve">. </w:t>
            </w:r>
            <w:r w:rsidR="0025609C" w:rsidRPr="00EB660F">
              <w:rPr>
                <w:color w:val="000000" w:themeColor="text1"/>
                <w:sz w:val="20"/>
                <w:szCs w:val="20"/>
                <w:lang w:val="pt-BR"/>
              </w:rPr>
              <w:t xml:space="preserve"> </w:t>
            </w:r>
            <w:r w:rsidRPr="00EB660F">
              <w:rPr>
                <w:color w:val="000000" w:themeColor="text1"/>
                <w:sz w:val="20"/>
                <w:szCs w:val="20"/>
                <w:lang w:val="pt-BR"/>
              </w:rPr>
              <w:t xml:space="preserve">Since serious prospects for a deal recently emerged, opponents, marshalled by Israeli Prime Minister Netanyahu and allied right-wing US pressure groups, have redoubled efforts to </w:t>
            </w:r>
            <w:r w:rsidR="001035D5">
              <w:rPr>
                <w:color w:val="000000" w:themeColor="text1"/>
                <w:sz w:val="20"/>
                <w:szCs w:val="20"/>
                <w:lang w:val="pt-BR"/>
              </w:rPr>
              <w:t>subvert</w:t>
            </w:r>
            <w:r w:rsidR="001035D5" w:rsidRPr="00EB660F">
              <w:rPr>
                <w:color w:val="000000" w:themeColor="text1"/>
                <w:sz w:val="20"/>
                <w:szCs w:val="20"/>
                <w:lang w:val="pt-BR"/>
              </w:rPr>
              <w:t xml:space="preserve"> </w:t>
            </w:r>
            <w:r w:rsidRPr="00EB660F">
              <w:rPr>
                <w:color w:val="000000" w:themeColor="text1"/>
                <w:sz w:val="20"/>
                <w:szCs w:val="20"/>
                <w:lang w:val="pt-BR"/>
              </w:rPr>
              <w:t xml:space="preserve">it. </w:t>
            </w:r>
          </w:p>
          <w:p w14:paraId="328C832A" w14:textId="77777777" w:rsidR="00B55384" w:rsidRPr="00EB660F" w:rsidRDefault="00B55384" w:rsidP="00B55384">
            <w:pPr>
              <w:spacing w:after="0"/>
              <w:rPr>
                <w:color w:val="000000" w:themeColor="text1"/>
                <w:sz w:val="20"/>
                <w:szCs w:val="20"/>
                <w:lang w:val="pt-BR"/>
              </w:rPr>
            </w:pPr>
          </w:p>
          <w:p w14:paraId="5390BF9E" w14:textId="7AA1A9DC" w:rsidR="00B55384" w:rsidRPr="00EB660F" w:rsidRDefault="00B55384" w:rsidP="00B55384">
            <w:pPr>
              <w:spacing w:after="0"/>
              <w:rPr>
                <w:color w:val="000000" w:themeColor="text1"/>
                <w:sz w:val="20"/>
                <w:szCs w:val="20"/>
                <w:lang w:val="pt-BR"/>
              </w:rPr>
            </w:pPr>
            <w:r w:rsidRPr="00EB660F">
              <w:rPr>
                <w:color w:val="000000" w:themeColor="text1"/>
                <w:sz w:val="20"/>
                <w:szCs w:val="20"/>
                <w:lang w:val="pt-BR"/>
              </w:rPr>
              <w:t xml:space="preserve">Increasingly partisan efforts to kill a deal </w:t>
            </w:r>
            <w:r w:rsidR="0025609C">
              <w:rPr>
                <w:color w:val="000000" w:themeColor="text1"/>
                <w:sz w:val="20"/>
                <w:szCs w:val="20"/>
                <w:lang w:val="pt-BR"/>
              </w:rPr>
              <w:t xml:space="preserve">in the US </w:t>
            </w:r>
            <w:r w:rsidRPr="00EB660F">
              <w:rPr>
                <w:color w:val="000000" w:themeColor="text1"/>
                <w:sz w:val="20"/>
                <w:szCs w:val="20"/>
                <w:lang w:val="pt-BR"/>
              </w:rPr>
              <w:t xml:space="preserve">include: Speaker Boehner inviting </w:t>
            </w:r>
            <w:r w:rsidR="0025609C">
              <w:rPr>
                <w:color w:val="000000" w:themeColor="text1"/>
                <w:sz w:val="20"/>
                <w:szCs w:val="20"/>
                <w:lang w:val="pt-BR"/>
              </w:rPr>
              <w:t xml:space="preserve">Israel Prime Minister Benjamin </w:t>
            </w:r>
            <w:r w:rsidRPr="00EB660F">
              <w:rPr>
                <w:color w:val="000000" w:themeColor="text1"/>
                <w:sz w:val="20"/>
                <w:szCs w:val="20"/>
                <w:lang w:val="pt-BR"/>
              </w:rPr>
              <w:t xml:space="preserve">Netanyahu to address a joint session of Congress on Iran; a letter by 47 Republican Senators to Iran’s Supreme Leader threatening </w:t>
            </w:r>
            <w:r w:rsidR="008E1081">
              <w:rPr>
                <w:color w:val="000000" w:themeColor="text1"/>
                <w:sz w:val="20"/>
                <w:szCs w:val="20"/>
                <w:lang w:val="pt-BR"/>
              </w:rPr>
              <w:t>to abrogate the deal in the future</w:t>
            </w:r>
            <w:r w:rsidRPr="00EB660F">
              <w:rPr>
                <w:color w:val="000000" w:themeColor="text1"/>
                <w:sz w:val="20"/>
                <w:szCs w:val="20"/>
                <w:lang w:val="pt-BR"/>
              </w:rPr>
              <w:t xml:space="preserve">; </w:t>
            </w:r>
            <w:r w:rsidR="0025609C">
              <w:rPr>
                <w:color w:val="000000" w:themeColor="text1"/>
                <w:sz w:val="20"/>
                <w:szCs w:val="20"/>
                <w:lang w:val="pt-BR"/>
              </w:rPr>
              <w:t xml:space="preserve">US </w:t>
            </w:r>
            <w:r w:rsidR="008E1081">
              <w:rPr>
                <w:color w:val="000000" w:themeColor="text1"/>
                <w:sz w:val="20"/>
                <w:szCs w:val="20"/>
                <w:lang w:val="pt-BR"/>
              </w:rPr>
              <w:t>Congressional</w:t>
            </w:r>
            <w:r w:rsidRPr="00EB660F">
              <w:rPr>
                <w:color w:val="000000" w:themeColor="text1"/>
                <w:sz w:val="20"/>
                <w:szCs w:val="20"/>
                <w:lang w:val="pt-BR"/>
              </w:rPr>
              <w:t xml:space="preserve"> attempts to limit the President’s authority to lift sanctions after an accord; and imposition of conditions unrelated to Iran’s nuclear program.  Opponents have concurrently escalated public relations campaigns to disseminate misinformation, demonize Iran’s leaders and sow fear of Iranian nuclear weapons use against Israel and the West.  Enormous effort is required to counter this unprecedented push to generate </w:t>
            </w:r>
            <w:r w:rsidR="001035D5">
              <w:rPr>
                <w:color w:val="000000" w:themeColor="text1"/>
                <w:sz w:val="20"/>
                <w:szCs w:val="20"/>
                <w:lang w:val="pt-BR"/>
              </w:rPr>
              <w:t xml:space="preserve">and amplify </w:t>
            </w:r>
            <w:r w:rsidRPr="00EB660F">
              <w:rPr>
                <w:color w:val="000000" w:themeColor="text1"/>
                <w:sz w:val="20"/>
                <w:szCs w:val="20"/>
                <w:lang w:val="pt-BR"/>
              </w:rPr>
              <w:t xml:space="preserve">public opposition to the Administration’s efforts and create a veto-proof majority in Congress. </w:t>
            </w:r>
          </w:p>
          <w:p w14:paraId="7313F6AC" w14:textId="77777777" w:rsidR="00B55384" w:rsidRPr="00EB660F" w:rsidRDefault="00B55384" w:rsidP="00B55384">
            <w:pPr>
              <w:spacing w:after="0"/>
              <w:rPr>
                <w:color w:val="000000" w:themeColor="text1"/>
                <w:sz w:val="20"/>
                <w:szCs w:val="20"/>
                <w:lang w:val="pt-BR"/>
              </w:rPr>
            </w:pPr>
          </w:p>
          <w:p w14:paraId="5FEB225D" w14:textId="41B0DF59" w:rsidR="000F10A2" w:rsidRPr="00EB660F" w:rsidRDefault="00B55384" w:rsidP="0025609C">
            <w:pPr>
              <w:spacing w:after="0"/>
              <w:rPr>
                <w:color w:val="000000" w:themeColor="text1"/>
                <w:sz w:val="20"/>
                <w:szCs w:val="20"/>
                <w:lang w:val="pt-BR"/>
              </w:rPr>
            </w:pPr>
            <w:r w:rsidRPr="00EB660F">
              <w:rPr>
                <w:color w:val="000000" w:themeColor="text1"/>
                <w:sz w:val="20"/>
                <w:szCs w:val="20"/>
                <w:lang w:val="pt-BR"/>
              </w:rPr>
              <w:t xml:space="preserve">Previously, OSF and OSPC have provided limited support to the Ploughshares Fund’s Iran Campaign and individual organizations therein. This large and effective coalition of nonproliferation, national security and media experts and organizations has successfully expanded positive political space for nuclear diplomacy in United States. </w:t>
            </w:r>
            <w:r w:rsidR="001035D5">
              <w:rPr>
                <w:color w:val="000000" w:themeColor="text1"/>
                <w:sz w:val="20"/>
                <w:szCs w:val="20"/>
                <w:lang w:val="pt-BR"/>
              </w:rPr>
              <w:t xml:space="preserve"> </w:t>
            </w:r>
            <w:r w:rsidRPr="00EB660F">
              <w:rPr>
                <w:color w:val="000000" w:themeColor="text1"/>
                <w:sz w:val="20"/>
                <w:szCs w:val="20"/>
                <w:lang w:val="pt-BR"/>
              </w:rPr>
              <w:t xml:space="preserve">Given the global ramifications of failing to reach a deal, including a potential additional military conflict in an already turbulent region, it is urgent to sustain support for </w:t>
            </w:r>
            <w:r w:rsidR="001035D5">
              <w:rPr>
                <w:color w:val="000000" w:themeColor="text1"/>
                <w:sz w:val="20"/>
                <w:szCs w:val="20"/>
                <w:lang w:val="pt-BR"/>
              </w:rPr>
              <w:t>the deal and its implementation</w:t>
            </w:r>
            <w:r w:rsidRPr="00EB660F">
              <w:rPr>
                <w:color w:val="000000" w:themeColor="text1"/>
                <w:sz w:val="20"/>
                <w:szCs w:val="20"/>
                <w:lang w:val="pt-BR"/>
              </w:rPr>
              <w:t xml:space="preserve"> by funding Ploughshares.</w:t>
            </w:r>
          </w:p>
        </w:tc>
      </w:tr>
      <w:tr w:rsidR="00EB660F" w:rsidRPr="00EB660F" w14:paraId="4D5E0E63" w14:textId="77777777" w:rsidTr="00701452">
        <w:trPr>
          <w:trHeight w:val="20"/>
        </w:trPr>
        <w:tc>
          <w:tcPr>
            <w:tcW w:w="2359" w:type="dxa"/>
            <w:tcMar>
              <w:top w:w="0" w:type="dxa"/>
              <w:left w:w="108" w:type="dxa"/>
              <w:bottom w:w="0" w:type="dxa"/>
              <w:right w:w="108" w:type="dxa"/>
            </w:tcMar>
          </w:tcPr>
          <w:p w14:paraId="34537874" w14:textId="77777777" w:rsidR="000F10A2" w:rsidRPr="00EB660F" w:rsidRDefault="000F10A2" w:rsidP="00BD195E">
            <w:pPr>
              <w:spacing w:after="0"/>
              <w:rPr>
                <w:b/>
                <w:bCs/>
                <w:color w:val="000000" w:themeColor="text1"/>
                <w:sz w:val="20"/>
                <w:szCs w:val="20"/>
              </w:rPr>
            </w:pPr>
            <w:r w:rsidRPr="00EB660F">
              <w:rPr>
                <w:b/>
                <w:bCs/>
                <w:color w:val="000000" w:themeColor="text1"/>
                <w:sz w:val="20"/>
                <w:szCs w:val="20"/>
              </w:rPr>
              <w:t>Activities Proposed (500 words)</w:t>
            </w:r>
          </w:p>
        </w:tc>
        <w:tc>
          <w:tcPr>
            <w:tcW w:w="7217" w:type="dxa"/>
            <w:gridSpan w:val="3"/>
            <w:tcMar>
              <w:top w:w="0" w:type="dxa"/>
              <w:left w:w="108" w:type="dxa"/>
              <w:bottom w:w="0" w:type="dxa"/>
              <w:right w:w="108" w:type="dxa"/>
            </w:tcMar>
          </w:tcPr>
          <w:p w14:paraId="0140BCC2" w14:textId="77777777" w:rsidR="009C167A" w:rsidRPr="009C167A" w:rsidRDefault="009C167A" w:rsidP="009C167A">
            <w:pPr>
              <w:spacing w:after="120"/>
            </w:pPr>
            <w:r w:rsidRPr="009C167A">
              <w:t xml:space="preserve">Broaden </w:t>
            </w:r>
            <w:r>
              <w:t xml:space="preserve">and better coordinate </w:t>
            </w:r>
            <w:r w:rsidRPr="009C167A">
              <w:t>circle of experts and validators</w:t>
            </w:r>
            <w:r>
              <w:t xml:space="preserve"> </w:t>
            </w:r>
            <w:r w:rsidRPr="009C167A">
              <w:t>who support diplomacy, including prominent US, European and Israeli military and diplomatic personalities, as well as Iranian human rights and civil society leaders.</w:t>
            </w:r>
          </w:p>
          <w:p w14:paraId="2B95FDF3" w14:textId="77777777" w:rsidR="009C167A" w:rsidRPr="009C167A" w:rsidRDefault="009C167A" w:rsidP="009C167A">
            <w:pPr>
              <w:pStyle w:val="ListParagraph"/>
              <w:numPr>
                <w:ilvl w:val="0"/>
                <w:numId w:val="6"/>
              </w:numPr>
              <w:contextualSpacing/>
            </w:pPr>
            <w:r w:rsidRPr="009C167A">
              <w:t xml:space="preserve">Expand </w:t>
            </w:r>
            <w:r>
              <w:t xml:space="preserve">mainstream and </w:t>
            </w:r>
            <w:r w:rsidRPr="009C167A">
              <w:t>social media outreach by validators along with other public and private efforts to shape the debate in support of an agreement and continued diplomacy</w:t>
            </w:r>
            <w:r>
              <w:t>.</w:t>
            </w:r>
          </w:p>
          <w:p w14:paraId="343C11D8" w14:textId="77777777" w:rsidR="009C167A" w:rsidRPr="009C167A" w:rsidRDefault="009C167A" w:rsidP="009C167A">
            <w:pPr>
              <w:pStyle w:val="ListParagraph"/>
              <w:numPr>
                <w:ilvl w:val="0"/>
                <w:numId w:val="6"/>
              </w:numPr>
              <w:contextualSpacing/>
            </w:pPr>
            <w:r w:rsidRPr="009C167A">
              <w:t>Increase outreach by coalition members and validators to policy-</w:t>
            </w:r>
            <w:r w:rsidRPr="009C167A">
              <w:lastRenderedPageBreak/>
              <w:t xml:space="preserve">makers with focus on long-term impact of the deal on regional and global security issues where potential cooperation with Iran </w:t>
            </w:r>
            <w:r>
              <w:t>could</w:t>
            </w:r>
            <w:r w:rsidRPr="009C167A">
              <w:t xml:space="preserve"> be beneficial</w:t>
            </w:r>
            <w:r>
              <w:t>.</w:t>
            </w:r>
          </w:p>
          <w:p w14:paraId="7F856425" w14:textId="77777777" w:rsidR="009C167A" w:rsidRPr="009C167A" w:rsidRDefault="009C167A" w:rsidP="009C167A">
            <w:pPr>
              <w:pStyle w:val="ListParagraph"/>
              <w:numPr>
                <w:ilvl w:val="0"/>
                <w:numId w:val="6"/>
              </w:numPr>
              <w:contextualSpacing/>
              <w:rPr>
                <w:rFonts w:asciiTheme="minorHAnsi" w:hAnsiTheme="minorHAnsi" w:cstheme="minorBidi"/>
              </w:rPr>
            </w:pPr>
            <w:r w:rsidRPr="009C167A">
              <w:rPr>
                <w:rFonts w:asciiTheme="minorHAnsi" w:hAnsiTheme="minorHAnsi" w:cstheme="minorBidi"/>
              </w:rPr>
              <w:t>Enable coalition partners to convene strategic events in Washington and throughout the country to highlight positive implications of a deal</w:t>
            </w:r>
          </w:p>
          <w:p w14:paraId="3B5FCB60" w14:textId="77777777" w:rsidR="009C167A" w:rsidRPr="009C167A" w:rsidRDefault="009C167A" w:rsidP="009C167A">
            <w:pPr>
              <w:pStyle w:val="ListParagraph"/>
              <w:numPr>
                <w:ilvl w:val="0"/>
                <w:numId w:val="6"/>
              </w:numPr>
              <w:contextualSpacing/>
              <w:rPr>
                <w:rFonts w:asciiTheme="minorHAnsi" w:hAnsiTheme="minorHAnsi" w:cstheme="minorBidi"/>
              </w:rPr>
            </w:pPr>
            <w:r w:rsidRPr="009C167A">
              <w:rPr>
                <w:rFonts w:asciiTheme="minorHAnsi" w:hAnsiTheme="minorHAnsi" w:cstheme="minorBidi"/>
              </w:rPr>
              <w:t>Expand research on longer term potential impacts of a deal to generate support among constituencies not yet fully engaged to support diplomacy</w:t>
            </w:r>
            <w:r>
              <w:rPr>
                <w:rFonts w:asciiTheme="minorHAnsi" w:hAnsiTheme="minorHAnsi" w:cstheme="minorBidi"/>
              </w:rPr>
              <w:t>.</w:t>
            </w:r>
          </w:p>
          <w:p w14:paraId="650A01B5" w14:textId="77777777" w:rsidR="009C167A" w:rsidRPr="009C167A" w:rsidRDefault="009C167A" w:rsidP="009C167A">
            <w:pPr>
              <w:pStyle w:val="ListParagraph"/>
              <w:numPr>
                <w:ilvl w:val="0"/>
                <w:numId w:val="6"/>
              </w:numPr>
              <w:contextualSpacing/>
            </w:pPr>
            <w:r w:rsidRPr="009C167A">
              <w:t xml:space="preserve">Amplify the views of Iranian human rights defenders and civil society activists regarding the potential positive ramifications of the deal and possible opportunities for expanding political space in Iran for addressing rights issues and other reforms.    </w:t>
            </w:r>
          </w:p>
          <w:p w14:paraId="4BF062CE" w14:textId="41AE9B86" w:rsidR="009C167A" w:rsidRPr="009C167A" w:rsidRDefault="009C167A" w:rsidP="009C167A">
            <w:pPr>
              <w:rPr>
                <w:rFonts w:ascii="Calibri" w:hAnsi="Calibri" w:cs="Times New Roman"/>
              </w:rPr>
            </w:pPr>
            <w:r>
              <w:br/>
            </w:r>
            <w:r w:rsidRPr="009C167A">
              <w:t>Scale up</w:t>
            </w:r>
            <w:r w:rsidR="0025609C">
              <w:t xml:space="preserve"> Ploughshares’</w:t>
            </w:r>
            <w:r w:rsidRPr="009C167A">
              <w:t xml:space="preserve"> </w:t>
            </w:r>
            <w:r w:rsidR="001035D5">
              <w:t xml:space="preserve">Iran </w:t>
            </w:r>
            <w:r w:rsidRPr="009C167A">
              <w:t xml:space="preserve">Campaign efforts to drive the media narrative related to the nuclear agreement and </w:t>
            </w:r>
            <w:r>
              <w:t xml:space="preserve">diplomatic </w:t>
            </w:r>
            <w:r w:rsidRPr="009C167A">
              <w:t>relations with Iran</w:t>
            </w:r>
            <w:r w:rsidR="00F24B01">
              <w:t>.</w:t>
            </w:r>
          </w:p>
          <w:p w14:paraId="600B61CF" w14:textId="77777777" w:rsidR="009C167A" w:rsidRPr="009C167A" w:rsidRDefault="009C167A" w:rsidP="009C167A">
            <w:pPr>
              <w:pStyle w:val="ListParagraph"/>
              <w:numPr>
                <w:ilvl w:val="0"/>
                <w:numId w:val="7"/>
              </w:numPr>
              <w:contextualSpacing/>
            </w:pPr>
            <w:r w:rsidRPr="009C167A">
              <w:t>Strengthen Campaign members’ ability to rapidly generate effective talking points and quickly create and disseminate fact sheets to key journalists and editorial boards, place op-eds and pitch experts, and track media trends</w:t>
            </w:r>
            <w:r w:rsidR="001035D5">
              <w:t>.</w:t>
            </w:r>
            <w:r w:rsidRPr="009C167A">
              <w:t xml:space="preserve"> </w:t>
            </w:r>
          </w:p>
          <w:p w14:paraId="2FB42E66" w14:textId="77777777" w:rsidR="009C167A" w:rsidRPr="009C167A" w:rsidRDefault="009C167A" w:rsidP="009C167A">
            <w:pPr>
              <w:pStyle w:val="ListParagraph"/>
              <w:numPr>
                <w:ilvl w:val="0"/>
                <w:numId w:val="8"/>
              </w:numPr>
              <w:contextualSpacing/>
            </w:pPr>
            <w:r w:rsidRPr="009C167A">
              <w:t>Drive positive messaging of the deal by deploying and enhancing the presence of the validators in the media, including placing op-eds and interviews, media appearances, jointly authoring public statements, and organizing robust media campaigns</w:t>
            </w:r>
            <w:r w:rsidR="001035D5">
              <w:t>.</w:t>
            </w:r>
          </w:p>
          <w:p w14:paraId="2E64BD9F" w14:textId="77777777" w:rsidR="009C167A" w:rsidRPr="009C167A" w:rsidRDefault="009C167A" w:rsidP="009C167A">
            <w:pPr>
              <w:pStyle w:val="ListParagraph"/>
              <w:numPr>
                <w:ilvl w:val="0"/>
                <w:numId w:val="8"/>
              </w:numPr>
              <w:contextualSpacing/>
            </w:pPr>
            <w:r w:rsidRPr="009C167A">
              <w:t>Increase research capacity to track and circulate positive validator statements to key journalist and editorial boards</w:t>
            </w:r>
            <w:r w:rsidR="001035D5">
              <w:t>.</w:t>
            </w:r>
            <w:r w:rsidRPr="009C167A">
              <w:t xml:space="preserve"> </w:t>
            </w:r>
          </w:p>
          <w:p w14:paraId="69CB49F0" w14:textId="77777777" w:rsidR="009C167A" w:rsidRPr="009C167A" w:rsidRDefault="009C167A" w:rsidP="009C167A">
            <w:pPr>
              <w:pStyle w:val="ListParagraph"/>
              <w:numPr>
                <w:ilvl w:val="0"/>
                <w:numId w:val="9"/>
              </w:numPr>
              <w:contextualSpacing/>
            </w:pPr>
            <w:r w:rsidRPr="009C167A">
              <w:t>Collect and analyze statements by opposing groups and individuals and discredit their views via careful analysis and dissemination of counterarguments via mainstream and social media platforms</w:t>
            </w:r>
            <w:r w:rsidR="001035D5">
              <w:t>.</w:t>
            </w:r>
          </w:p>
          <w:p w14:paraId="36E05979" w14:textId="77777777" w:rsidR="009C167A" w:rsidRPr="009C167A" w:rsidRDefault="009C167A" w:rsidP="009C167A">
            <w:pPr>
              <w:pStyle w:val="ListParagraph"/>
              <w:numPr>
                <w:ilvl w:val="0"/>
                <w:numId w:val="8"/>
              </w:numPr>
              <w:contextualSpacing/>
              <w:rPr>
                <w:rFonts w:asciiTheme="minorHAnsi" w:hAnsiTheme="minorHAnsi" w:cstheme="minorBidi"/>
              </w:rPr>
            </w:pPr>
            <w:r w:rsidRPr="009C167A">
              <w:t>Amplify digital media campaigns to educate and mobilize the pro-diplomacy American public</w:t>
            </w:r>
            <w:r w:rsidR="001035D5">
              <w:t>.</w:t>
            </w:r>
            <w:r w:rsidRPr="009C167A">
              <w:t xml:space="preserve"> </w:t>
            </w:r>
          </w:p>
          <w:p w14:paraId="57D55644" w14:textId="77777777" w:rsidR="009C167A" w:rsidRPr="009C167A" w:rsidRDefault="009C167A" w:rsidP="009C167A">
            <w:pPr>
              <w:pStyle w:val="ListParagraph"/>
              <w:numPr>
                <w:ilvl w:val="0"/>
                <w:numId w:val="8"/>
              </w:numPr>
              <w:contextualSpacing/>
              <w:rPr>
                <w:rFonts w:asciiTheme="minorHAnsi" w:hAnsiTheme="minorHAnsi" w:cstheme="minorBidi"/>
              </w:rPr>
            </w:pPr>
            <w:r w:rsidRPr="009C167A">
              <w:rPr>
                <w:rFonts w:asciiTheme="minorHAnsi" w:hAnsiTheme="minorHAnsi" w:cstheme="minorBidi"/>
              </w:rPr>
              <w:t>Conduct strategic polling to help target messaging to specific audiences</w:t>
            </w:r>
            <w:r w:rsidR="001035D5">
              <w:rPr>
                <w:rFonts w:asciiTheme="minorHAnsi" w:hAnsiTheme="minorHAnsi" w:cstheme="minorBidi"/>
              </w:rPr>
              <w:t>.</w:t>
            </w:r>
          </w:p>
          <w:p w14:paraId="2E5B4A58" w14:textId="57903C25" w:rsidR="009C167A" w:rsidRPr="009C167A" w:rsidRDefault="009C167A" w:rsidP="009C167A">
            <w:pPr>
              <w:pStyle w:val="ListParagraph"/>
              <w:numPr>
                <w:ilvl w:val="0"/>
                <w:numId w:val="8"/>
              </w:numPr>
              <w:contextualSpacing/>
            </w:pPr>
            <w:r w:rsidRPr="009C167A">
              <w:t>Enhance capacity of grassroots organizations and activists to place op-eds, letters to editors in key states, and to engage with policymakers</w:t>
            </w:r>
            <w:r w:rsidR="00F24B01">
              <w:t>.</w:t>
            </w:r>
          </w:p>
          <w:p w14:paraId="7F3FCB10" w14:textId="77777777" w:rsidR="000F10A2" w:rsidRPr="00EB660F" w:rsidRDefault="009C167A" w:rsidP="003F6CAA">
            <w:pPr>
              <w:pStyle w:val="ListParagraph"/>
              <w:numPr>
                <w:ilvl w:val="0"/>
                <w:numId w:val="8"/>
              </w:numPr>
              <w:contextualSpacing/>
              <w:rPr>
                <w:color w:val="000000" w:themeColor="text1"/>
                <w:sz w:val="20"/>
                <w:szCs w:val="20"/>
                <w:lang w:val="pt-BR"/>
              </w:rPr>
            </w:pPr>
            <w:r w:rsidRPr="009C167A">
              <w:t>Broaden public awareness of potential security, economic and other benefits that could emerge post-deal and build support for the implementation of the deal</w:t>
            </w:r>
            <w:r w:rsidR="001035D5">
              <w:t>.</w:t>
            </w:r>
          </w:p>
        </w:tc>
      </w:tr>
      <w:tr w:rsidR="00EB660F" w:rsidRPr="00EB660F" w14:paraId="5F2361BA" w14:textId="77777777" w:rsidTr="00701452">
        <w:trPr>
          <w:trHeight w:val="20"/>
        </w:trPr>
        <w:tc>
          <w:tcPr>
            <w:tcW w:w="2359" w:type="dxa"/>
            <w:tcBorders>
              <w:bottom w:val="single" w:sz="8" w:space="0" w:color="auto"/>
            </w:tcBorders>
            <w:tcMar>
              <w:top w:w="0" w:type="dxa"/>
              <w:left w:w="108" w:type="dxa"/>
              <w:bottom w:w="0" w:type="dxa"/>
              <w:right w:w="108" w:type="dxa"/>
            </w:tcMar>
          </w:tcPr>
          <w:p w14:paraId="2C5AC342" w14:textId="77777777" w:rsidR="000F10A2" w:rsidRPr="00EB660F" w:rsidRDefault="00277B43" w:rsidP="00277B43">
            <w:pPr>
              <w:spacing w:after="0"/>
              <w:rPr>
                <w:b/>
                <w:bCs/>
                <w:color w:val="000000" w:themeColor="text1"/>
                <w:sz w:val="20"/>
                <w:szCs w:val="20"/>
              </w:rPr>
            </w:pPr>
            <w:r w:rsidRPr="00EB660F">
              <w:rPr>
                <w:b/>
                <w:bCs/>
                <w:color w:val="000000" w:themeColor="text1"/>
                <w:sz w:val="20"/>
                <w:szCs w:val="20"/>
              </w:rPr>
              <w:lastRenderedPageBreak/>
              <w:t>Summary for Board Reports (100 words)</w:t>
            </w:r>
          </w:p>
        </w:tc>
        <w:tc>
          <w:tcPr>
            <w:tcW w:w="7217" w:type="dxa"/>
            <w:gridSpan w:val="3"/>
            <w:tcBorders>
              <w:bottom w:val="single" w:sz="8" w:space="0" w:color="auto"/>
            </w:tcBorders>
            <w:tcMar>
              <w:top w:w="0" w:type="dxa"/>
              <w:left w:w="108" w:type="dxa"/>
              <w:bottom w:w="0" w:type="dxa"/>
              <w:right w:w="108" w:type="dxa"/>
            </w:tcMar>
          </w:tcPr>
          <w:p w14:paraId="310185E8" w14:textId="397520BD" w:rsidR="009C167A" w:rsidRDefault="009C167A" w:rsidP="009C167A">
            <w:r>
              <w:t xml:space="preserve">The US and its P5+1 </w:t>
            </w:r>
            <w:proofErr w:type="gramStart"/>
            <w:r>
              <w:t>allies</w:t>
            </w:r>
            <w:proofErr w:type="gramEnd"/>
            <w:r>
              <w:t xml:space="preserve"> are on the verge of concluding an historic nuclear agreement with Iran, but US/Israeli </w:t>
            </w:r>
            <w:r w:rsidR="001310BB">
              <w:t xml:space="preserve">hardliners </w:t>
            </w:r>
            <w:r>
              <w:t xml:space="preserve">are mounting an all-out campaign to scuttle the deal and/or block its implementation. In coming months, influential defenders of the </w:t>
            </w:r>
            <w:r w:rsidR="0025609C">
              <w:t>agreement</w:t>
            </w:r>
            <w:r>
              <w:t xml:space="preserve">, organized by Ploughshares Fund’s Iran Campaign, </w:t>
            </w:r>
            <w:r w:rsidR="001310BB">
              <w:t xml:space="preserve">are scaling up their </w:t>
            </w:r>
            <w:r>
              <w:t xml:space="preserve">campaign to build public support, drive the media narrative, and push US policymakers in support of the deal. Ploughshares seeks </w:t>
            </w:r>
            <w:r w:rsidR="001310BB">
              <w:t xml:space="preserve">an additional </w:t>
            </w:r>
            <w:r>
              <w:t xml:space="preserve">$750,000 from OSF (and will shortly make a similar request for c4 funding from OSPC) to mobilize its network to win this critical foreign policy battle. </w:t>
            </w:r>
          </w:p>
          <w:p w14:paraId="227AE156" w14:textId="77777777" w:rsidR="000F10A2" w:rsidRPr="00EB660F" w:rsidRDefault="000F10A2" w:rsidP="00277B43">
            <w:pPr>
              <w:spacing w:after="0"/>
              <w:rPr>
                <w:color w:val="000000" w:themeColor="text1"/>
                <w:sz w:val="20"/>
                <w:szCs w:val="20"/>
              </w:rPr>
            </w:pPr>
          </w:p>
        </w:tc>
      </w:tr>
      <w:tr w:rsidR="00EB660F" w:rsidRPr="00EB660F" w14:paraId="54AC341C" w14:textId="77777777" w:rsidTr="00701452">
        <w:trPr>
          <w:trHeight w:val="20"/>
        </w:trPr>
        <w:tc>
          <w:tcPr>
            <w:tcW w:w="2359" w:type="dxa"/>
            <w:tcBorders>
              <w:bottom w:val="single" w:sz="8" w:space="0" w:color="auto"/>
            </w:tcBorders>
            <w:tcMar>
              <w:top w:w="0" w:type="dxa"/>
              <w:left w:w="108" w:type="dxa"/>
              <w:bottom w:w="0" w:type="dxa"/>
              <w:right w:w="108" w:type="dxa"/>
            </w:tcMar>
          </w:tcPr>
          <w:p w14:paraId="6B691354" w14:textId="77777777" w:rsidR="00701452" w:rsidRPr="00EB660F" w:rsidRDefault="00701452" w:rsidP="00277B43">
            <w:pPr>
              <w:spacing w:after="0"/>
              <w:rPr>
                <w:b/>
                <w:bCs/>
                <w:color w:val="000000" w:themeColor="text1"/>
                <w:sz w:val="20"/>
                <w:szCs w:val="20"/>
              </w:rPr>
            </w:pPr>
            <w:r w:rsidRPr="00EB660F">
              <w:rPr>
                <w:b/>
                <w:bCs/>
                <w:color w:val="000000" w:themeColor="text1"/>
                <w:sz w:val="20"/>
                <w:szCs w:val="20"/>
              </w:rPr>
              <w:lastRenderedPageBreak/>
              <w:t>Collaborating Programs within OSF and essential partners or grantees</w:t>
            </w:r>
          </w:p>
        </w:tc>
        <w:tc>
          <w:tcPr>
            <w:tcW w:w="7217" w:type="dxa"/>
            <w:gridSpan w:val="3"/>
            <w:tcBorders>
              <w:bottom w:val="single" w:sz="8" w:space="0" w:color="auto"/>
            </w:tcBorders>
            <w:tcMar>
              <w:top w:w="0" w:type="dxa"/>
              <w:left w:w="108" w:type="dxa"/>
              <w:bottom w:w="0" w:type="dxa"/>
              <w:right w:w="108" w:type="dxa"/>
            </w:tcMar>
          </w:tcPr>
          <w:p w14:paraId="391779E6" w14:textId="77777777" w:rsidR="00701452" w:rsidRPr="00EB660F" w:rsidRDefault="00B55384" w:rsidP="009C167A">
            <w:pPr>
              <w:spacing w:after="0"/>
              <w:rPr>
                <w:color w:val="000000" w:themeColor="text1"/>
                <w:sz w:val="20"/>
                <w:szCs w:val="20"/>
              </w:rPr>
            </w:pPr>
            <w:r w:rsidRPr="00EB660F">
              <w:rPr>
                <w:color w:val="000000" w:themeColor="text1"/>
                <w:sz w:val="20"/>
                <w:szCs w:val="20"/>
              </w:rPr>
              <w:t xml:space="preserve">MENASWA; OSF-DC; Ploughshares Fund; </w:t>
            </w:r>
            <w:r w:rsidR="001310BB">
              <w:rPr>
                <w:color w:val="000000" w:themeColor="text1"/>
                <w:sz w:val="20"/>
                <w:szCs w:val="20"/>
              </w:rPr>
              <w:t xml:space="preserve">and </w:t>
            </w:r>
            <w:r w:rsidRPr="00EB660F">
              <w:rPr>
                <w:color w:val="000000" w:themeColor="text1"/>
                <w:sz w:val="20"/>
                <w:szCs w:val="20"/>
              </w:rPr>
              <w:t>International Campaign for Human Rights in Iran</w:t>
            </w:r>
            <w:r w:rsidR="001310BB">
              <w:rPr>
                <w:color w:val="000000" w:themeColor="text1"/>
                <w:sz w:val="20"/>
                <w:szCs w:val="20"/>
              </w:rPr>
              <w:t>.</w:t>
            </w:r>
            <w:r w:rsidRPr="00EB660F">
              <w:rPr>
                <w:color w:val="000000" w:themeColor="text1"/>
                <w:sz w:val="20"/>
                <w:szCs w:val="20"/>
              </w:rPr>
              <w:t xml:space="preserve"> </w:t>
            </w:r>
          </w:p>
        </w:tc>
      </w:tr>
      <w:tr w:rsidR="00EB660F" w:rsidRPr="00EB660F" w14:paraId="310C122D" w14:textId="77777777" w:rsidTr="00701452">
        <w:trPr>
          <w:trHeight w:val="20"/>
        </w:trPr>
        <w:tc>
          <w:tcPr>
            <w:tcW w:w="2359" w:type="dxa"/>
            <w:tcBorders>
              <w:bottom w:val="single" w:sz="8" w:space="0" w:color="auto"/>
            </w:tcBorders>
            <w:tcMar>
              <w:top w:w="0" w:type="dxa"/>
              <w:left w:w="108" w:type="dxa"/>
              <w:bottom w:w="0" w:type="dxa"/>
              <w:right w:w="108" w:type="dxa"/>
            </w:tcMar>
          </w:tcPr>
          <w:p w14:paraId="6D5801EB" w14:textId="77777777" w:rsidR="00701452" w:rsidRPr="00EB660F" w:rsidRDefault="00701452" w:rsidP="00277B43">
            <w:pPr>
              <w:spacing w:after="0"/>
              <w:rPr>
                <w:b/>
                <w:bCs/>
                <w:color w:val="000000" w:themeColor="text1"/>
                <w:sz w:val="20"/>
                <w:szCs w:val="20"/>
              </w:rPr>
            </w:pPr>
            <w:r w:rsidRPr="00EB660F">
              <w:rPr>
                <w:b/>
                <w:bCs/>
                <w:color w:val="000000" w:themeColor="text1"/>
                <w:sz w:val="20"/>
                <w:szCs w:val="20"/>
              </w:rPr>
              <w:t>Contributions expected from Collaborating Programs (250 words)</w:t>
            </w:r>
          </w:p>
        </w:tc>
        <w:tc>
          <w:tcPr>
            <w:tcW w:w="7217" w:type="dxa"/>
            <w:gridSpan w:val="3"/>
            <w:tcBorders>
              <w:bottom w:val="single" w:sz="8" w:space="0" w:color="auto"/>
            </w:tcBorders>
            <w:tcMar>
              <w:top w:w="0" w:type="dxa"/>
              <w:left w:w="108" w:type="dxa"/>
              <w:bottom w:w="0" w:type="dxa"/>
              <w:right w:w="108" w:type="dxa"/>
            </w:tcMar>
          </w:tcPr>
          <w:p w14:paraId="644E75DA" w14:textId="77777777" w:rsidR="00701452" w:rsidRPr="00EB660F" w:rsidRDefault="00701452" w:rsidP="00277B43">
            <w:pPr>
              <w:spacing w:after="0"/>
              <w:rPr>
                <w:color w:val="000000" w:themeColor="text1"/>
                <w:sz w:val="20"/>
                <w:szCs w:val="20"/>
              </w:rPr>
            </w:pPr>
          </w:p>
        </w:tc>
      </w:tr>
      <w:tr w:rsidR="00EB660F" w:rsidRPr="00EB660F" w14:paraId="2BD622A0" w14:textId="77777777" w:rsidTr="00701452">
        <w:trPr>
          <w:trHeight w:val="20"/>
        </w:trPr>
        <w:tc>
          <w:tcPr>
            <w:tcW w:w="2359" w:type="dxa"/>
            <w:tcBorders>
              <w:bottom w:val="single" w:sz="8" w:space="0" w:color="auto"/>
            </w:tcBorders>
            <w:tcMar>
              <w:top w:w="0" w:type="dxa"/>
              <w:left w:w="108" w:type="dxa"/>
              <w:bottom w:w="0" w:type="dxa"/>
              <w:right w:w="108" w:type="dxa"/>
            </w:tcMar>
          </w:tcPr>
          <w:p w14:paraId="372203FE" w14:textId="77777777" w:rsidR="00701452" w:rsidRPr="00EB660F" w:rsidRDefault="00701452" w:rsidP="00701452">
            <w:pPr>
              <w:spacing w:after="0"/>
              <w:rPr>
                <w:b/>
                <w:bCs/>
                <w:color w:val="000000" w:themeColor="text1"/>
                <w:sz w:val="20"/>
                <w:szCs w:val="20"/>
              </w:rPr>
            </w:pPr>
            <w:r w:rsidRPr="00EB660F">
              <w:rPr>
                <w:b/>
                <w:bCs/>
                <w:color w:val="000000" w:themeColor="text1"/>
                <w:sz w:val="20"/>
                <w:szCs w:val="20"/>
              </w:rPr>
              <w:t>Statement of who within OSF would guide the work</w:t>
            </w:r>
          </w:p>
        </w:tc>
        <w:tc>
          <w:tcPr>
            <w:tcW w:w="7217" w:type="dxa"/>
            <w:gridSpan w:val="3"/>
            <w:tcBorders>
              <w:bottom w:val="single" w:sz="8" w:space="0" w:color="auto"/>
            </w:tcBorders>
            <w:tcMar>
              <w:top w:w="0" w:type="dxa"/>
              <w:left w:w="108" w:type="dxa"/>
              <w:bottom w:w="0" w:type="dxa"/>
              <w:right w:w="108" w:type="dxa"/>
            </w:tcMar>
          </w:tcPr>
          <w:p w14:paraId="2EFFF13B" w14:textId="77777777" w:rsidR="00701452" w:rsidRPr="00EB660F" w:rsidRDefault="00B55384" w:rsidP="00B55384">
            <w:pPr>
              <w:spacing w:after="0"/>
              <w:rPr>
                <w:color w:val="000000" w:themeColor="text1"/>
                <w:sz w:val="20"/>
                <w:szCs w:val="20"/>
              </w:rPr>
            </w:pPr>
            <w:r w:rsidRPr="00EB660F">
              <w:rPr>
                <w:color w:val="000000" w:themeColor="text1"/>
                <w:sz w:val="20"/>
                <w:szCs w:val="20"/>
              </w:rPr>
              <w:t xml:space="preserve">Anthony Richter, MENASWA Regional Director; Michael Amitay, MENA Senior Policy Analyst, OSI Washington DC Programs; Rachel Reid, MENA </w:t>
            </w:r>
            <w:r w:rsidR="008F4319" w:rsidRPr="00EB660F">
              <w:rPr>
                <w:color w:val="000000" w:themeColor="text1"/>
                <w:sz w:val="20"/>
                <w:szCs w:val="20"/>
              </w:rPr>
              <w:t xml:space="preserve">Advocacy </w:t>
            </w:r>
            <w:r w:rsidRPr="00EB660F">
              <w:rPr>
                <w:color w:val="000000" w:themeColor="text1"/>
                <w:sz w:val="20"/>
                <w:szCs w:val="20"/>
              </w:rPr>
              <w:t xml:space="preserve">Regional </w:t>
            </w:r>
            <w:r w:rsidR="008F4319" w:rsidRPr="00EB660F">
              <w:rPr>
                <w:color w:val="000000" w:themeColor="text1"/>
                <w:sz w:val="20"/>
                <w:szCs w:val="20"/>
              </w:rPr>
              <w:t xml:space="preserve">Manager; </w:t>
            </w:r>
            <w:r w:rsidR="001310BB">
              <w:rPr>
                <w:color w:val="000000" w:themeColor="text1"/>
                <w:sz w:val="20"/>
                <w:szCs w:val="20"/>
              </w:rPr>
              <w:t xml:space="preserve">and </w:t>
            </w:r>
            <w:r w:rsidRPr="00EB660F">
              <w:rPr>
                <w:color w:val="000000" w:themeColor="text1"/>
                <w:sz w:val="20"/>
                <w:szCs w:val="20"/>
              </w:rPr>
              <w:t>Farnoosh Hashemian</w:t>
            </w:r>
            <w:r w:rsidR="008F4319" w:rsidRPr="00EB660F">
              <w:rPr>
                <w:color w:val="000000" w:themeColor="text1"/>
                <w:sz w:val="20"/>
                <w:szCs w:val="20"/>
              </w:rPr>
              <w:t>, Iran Program Officer</w:t>
            </w:r>
            <w:r w:rsidR="001310BB">
              <w:rPr>
                <w:color w:val="000000" w:themeColor="text1"/>
                <w:sz w:val="20"/>
                <w:szCs w:val="20"/>
              </w:rPr>
              <w:t>.</w:t>
            </w:r>
            <w:r w:rsidR="008F4319" w:rsidRPr="00EB660F">
              <w:rPr>
                <w:color w:val="000000" w:themeColor="text1"/>
                <w:sz w:val="20"/>
                <w:szCs w:val="20"/>
              </w:rPr>
              <w:t xml:space="preserve"> </w:t>
            </w:r>
          </w:p>
        </w:tc>
      </w:tr>
      <w:tr w:rsidR="00EB660F" w:rsidRPr="00EB660F" w14:paraId="6CB58825" w14:textId="77777777" w:rsidTr="00411B69">
        <w:trPr>
          <w:trHeight w:val="169"/>
        </w:trPr>
        <w:tc>
          <w:tcPr>
            <w:tcW w:w="2359" w:type="dxa"/>
            <w:tcBorders>
              <w:left w:val="nil"/>
              <w:right w:val="nil"/>
            </w:tcBorders>
            <w:tcMar>
              <w:top w:w="0" w:type="dxa"/>
              <w:left w:w="108" w:type="dxa"/>
              <w:bottom w:w="0" w:type="dxa"/>
              <w:right w:w="108" w:type="dxa"/>
            </w:tcMar>
          </w:tcPr>
          <w:p w14:paraId="50FB24D2" w14:textId="77777777" w:rsidR="00701452" w:rsidRPr="00EB660F" w:rsidRDefault="00701452" w:rsidP="00277B43">
            <w:pPr>
              <w:spacing w:after="0"/>
              <w:rPr>
                <w:b/>
                <w:bCs/>
                <w:color w:val="000000" w:themeColor="text1"/>
                <w:sz w:val="20"/>
                <w:szCs w:val="20"/>
              </w:rPr>
            </w:pPr>
          </w:p>
        </w:tc>
        <w:tc>
          <w:tcPr>
            <w:tcW w:w="7217" w:type="dxa"/>
            <w:gridSpan w:val="3"/>
            <w:tcBorders>
              <w:left w:val="nil"/>
              <w:right w:val="nil"/>
            </w:tcBorders>
            <w:tcMar>
              <w:top w:w="0" w:type="dxa"/>
              <w:left w:w="108" w:type="dxa"/>
              <w:bottom w:w="0" w:type="dxa"/>
              <w:right w:w="108" w:type="dxa"/>
            </w:tcMar>
          </w:tcPr>
          <w:p w14:paraId="4DC07E2E" w14:textId="77777777" w:rsidR="00701452" w:rsidRPr="00EB660F" w:rsidRDefault="00701452" w:rsidP="00277B43">
            <w:pPr>
              <w:spacing w:after="0"/>
              <w:rPr>
                <w:color w:val="000000" w:themeColor="text1"/>
                <w:sz w:val="20"/>
                <w:szCs w:val="20"/>
              </w:rPr>
            </w:pPr>
          </w:p>
        </w:tc>
      </w:tr>
      <w:tr w:rsidR="00EB660F" w:rsidRPr="00EB660F" w14:paraId="4D5A6374" w14:textId="77777777" w:rsidTr="00701452">
        <w:trPr>
          <w:trHeight w:val="229"/>
        </w:trPr>
        <w:tc>
          <w:tcPr>
            <w:tcW w:w="2359" w:type="dxa"/>
            <w:vMerge w:val="restart"/>
            <w:tcMar>
              <w:top w:w="0" w:type="dxa"/>
              <w:left w:w="108" w:type="dxa"/>
              <w:bottom w:w="0" w:type="dxa"/>
              <w:right w:w="108" w:type="dxa"/>
            </w:tcMar>
            <w:hideMark/>
          </w:tcPr>
          <w:p w14:paraId="0B34E0B1" w14:textId="77777777" w:rsidR="004A1863" w:rsidRPr="00EB660F" w:rsidRDefault="004A1863" w:rsidP="00701452">
            <w:pPr>
              <w:spacing w:after="0"/>
              <w:rPr>
                <w:b/>
                <w:bCs/>
                <w:color w:val="000000" w:themeColor="text1"/>
                <w:sz w:val="20"/>
                <w:szCs w:val="20"/>
              </w:rPr>
            </w:pPr>
            <w:r w:rsidRPr="00EB660F">
              <w:rPr>
                <w:b/>
                <w:bCs/>
                <w:color w:val="000000" w:themeColor="text1"/>
                <w:sz w:val="20"/>
                <w:szCs w:val="20"/>
              </w:rPr>
              <w:t>A</w:t>
            </w:r>
            <w:r w:rsidR="00701452" w:rsidRPr="00EB660F">
              <w:rPr>
                <w:b/>
                <w:bCs/>
                <w:color w:val="000000" w:themeColor="text1"/>
                <w:sz w:val="20"/>
                <w:szCs w:val="20"/>
              </w:rPr>
              <w:t>llocator</w:t>
            </w:r>
          </w:p>
          <w:p w14:paraId="069C937D" w14:textId="77777777" w:rsidR="00701452" w:rsidRPr="00EB660F" w:rsidRDefault="00701452" w:rsidP="00701452">
            <w:pPr>
              <w:spacing w:after="0"/>
              <w:rPr>
                <w:bCs/>
                <w:i/>
                <w:color w:val="000000" w:themeColor="text1"/>
                <w:sz w:val="20"/>
                <w:szCs w:val="20"/>
              </w:rPr>
            </w:pPr>
            <w:r w:rsidRPr="00EB660F">
              <w:rPr>
                <w:bCs/>
                <w:i/>
                <w:color w:val="000000" w:themeColor="text1"/>
                <w:sz w:val="20"/>
                <w:szCs w:val="20"/>
              </w:rPr>
              <w:t xml:space="preserve">(See list on </w:t>
            </w:r>
            <w:hyperlink r:id="rId9" w:history="1">
              <w:r w:rsidRPr="00EB660F">
                <w:rPr>
                  <w:rStyle w:val="Hyperlink"/>
                  <w:bCs/>
                  <w:i/>
                  <w:color w:val="000000" w:themeColor="text1"/>
                  <w:sz w:val="20"/>
                  <w:szCs w:val="20"/>
                </w:rPr>
                <w:t>Reserve Funds KARL</w:t>
              </w:r>
            </w:hyperlink>
            <w:r w:rsidRPr="00EB660F">
              <w:rPr>
                <w:bCs/>
                <w:i/>
                <w:color w:val="000000" w:themeColor="text1"/>
                <w:sz w:val="20"/>
                <w:szCs w:val="20"/>
              </w:rPr>
              <w:t>)</w:t>
            </w:r>
          </w:p>
        </w:tc>
        <w:tc>
          <w:tcPr>
            <w:tcW w:w="1594" w:type="dxa"/>
            <w:tcMar>
              <w:top w:w="0" w:type="dxa"/>
              <w:left w:w="108" w:type="dxa"/>
              <w:bottom w:w="0" w:type="dxa"/>
              <w:right w:w="108" w:type="dxa"/>
            </w:tcMar>
          </w:tcPr>
          <w:p w14:paraId="3FD2C3D4" w14:textId="77777777" w:rsidR="004A1863" w:rsidRPr="00EB660F" w:rsidRDefault="004A1863" w:rsidP="00BD195E">
            <w:pPr>
              <w:spacing w:after="0"/>
              <w:rPr>
                <w:color w:val="000000" w:themeColor="text1"/>
                <w:sz w:val="20"/>
                <w:szCs w:val="20"/>
              </w:rPr>
            </w:pPr>
            <w:r w:rsidRPr="00EB660F">
              <w:rPr>
                <w:color w:val="000000" w:themeColor="text1"/>
                <w:sz w:val="20"/>
                <w:szCs w:val="20"/>
              </w:rPr>
              <w:t>Name</w:t>
            </w:r>
          </w:p>
        </w:tc>
        <w:tc>
          <w:tcPr>
            <w:tcW w:w="5623" w:type="dxa"/>
            <w:gridSpan w:val="2"/>
          </w:tcPr>
          <w:p w14:paraId="13AF764F" w14:textId="1B41138D" w:rsidR="004A1863" w:rsidRPr="00EB660F" w:rsidRDefault="00704BFB" w:rsidP="00BD195E">
            <w:pPr>
              <w:spacing w:after="0"/>
              <w:rPr>
                <w:color w:val="000000" w:themeColor="text1"/>
                <w:sz w:val="20"/>
                <w:szCs w:val="20"/>
              </w:rPr>
            </w:pPr>
            <w:r>
              <w:rPr>
                <w:color w:val="000000" w:themeColor="text1"/>
                <w:sz w:val="20"/>
                <w:szCs w:val="20"/>
              </w:rPr>
              <w:t>Chris Stone</w:t>
            </w:r>
          </w:p>
        </w:tc>
      </w:tr>
      <w:tr w:rsidR="00EB660F" w:rsidRPr="00EB660F" w14:paraId="59987630" w14:textId="77777777" w:rsidTr="00701452">
        <w:trPr>
          <w:trHeight w:val="273"/>
        </w:trPr>
        <w:tc>
          <w:tcPr>
            <w:tcW w:w="2359" w:type="dxa"/>
            <w:vMerge/>
            <w:tcMar>
              <w:top w:w="0" w:type="dxa"/>
              <w:left w:w="108" w:type="dxa"/>
              <w:bottom w:w="0" w:type="dxa"/>
              <w:right w:w="108" w:type="dxa"/>
            </w:tcMar>
          </w:tcPr>
          <w:p w14:paraId="1FA6402B" w14:textId="77777777" w:rsidR="004A1863" w:rsidRPr="00EB660F" w:rsidRDefault="004A1863" w:rsidP="00BD195E">
            <w:pPr>
              <w:spacing w:after="0"/>
              <w:rPr>
                <w:b/>
                <w:bCs/>
                <w:color w:val="000000" w:themeColor="text1"/>
                <w:sz w:val="20"/>
                <w:szCs w:val="20"/>
              </w:rPr>
            </w:pPr>
          </w:p>
        </w:tc>
        <w:tc>
          <w:tcPr>
            <w:tcW w:w="1594" w:type="dxa"/>
            <w:tcMar>
              <w:top w:w="0" w:type="dxa"/>
              <w:left w:w="108" w:type="dxa"/>
              <w:bottom w:w="0" w:type="dxa"/>
              <w:right w:w="108" w:type="dxa"/>
            </w:tcMar>
          </w:tcPr>
          <w:p w14:paraId="47F88218" w14:textId="77777777" w:rsidR="004A1863" w:rsidRPr="00EB660F" w:rsidRDefault="004A1863" w:rsidP="00BD195E">
            <w:pPr>
              <w:spacing w:after="0"/>
              <w:rPr>
                <w:color w:val="000000" w:themeColor="text1"/>
                <w:sz w:val="20"/>
                <w:szCs w:val="20"/>
              </w:rPr>
            </w:pPr>
            <w:r w:rsidRPr="00EB660F">
              <w:rPr>
                <w:color w:val="000000" w:themeColor="text1"/>
                <w:sz w:val="20"/>
                <w:szCs w:val="20"/>
              </w:rPr>
              <w:t>Date Approved</w:t>
            </w:r>
          </w:p>
        </w:tc>
        <w:tc>
          <w:tcPr>
            <w:tcW w:w="5623" w:type="dxa"/>
            <w:gridSpan w:val="2"/>
          </w:tcPr>
          <w:p w14:paraId="23A3AFB5" w14:textId="77777777" w:rsidR="004A1863" w:rsidRPr="00EB660F" w:rsidRDefault="004A1863" w:rsidP="00BD195E">
            <w:pPr>
              <w:spacing w:after="0"/>
              <w:rPr>
                <w:color w:val="000000" w:themeColor="text1"/>
                <w:sz w:val="20"/>
                <w:szCs w:val="20"/>
              </w:rPr>
            </w:pPr>
            <w:bookmarkStart w:id="0" w:name="_GoBack"/>
            <w:bookmarkEnd w:id="0"/>
          </w:p>
        </w:tc>
      </w:tr>
      <w:tr w:rsidR="00EB660F" w:rsidRPr="00EB660F" w14:paraId="6EB598B2" w14:textId="77777777" w:rsidTr="00701452">
        <w:tblPrEx>
          <w:shd w:val="clear" w:color="auto" w:fill="CCFFCC"/>
        </w:tblPrEx>
        <w:trPr>
          <w:trHeight w:val="556"/>
        </w:trPr>
        <w:tc>
          <w:tcPr>
            <w:tcW w:w="2359" w:type="dxa"/>
            <w:vMerge w:val="restart"/>
            <w:shd w:val="clear" w:color="auto" w:fill="CCFFCC"/>
            <w:tcMar>
              <w:top w:w="0" w:type="dxa"/>
              <w:left w:w="108" w:type="dxa"/>
              <w:bottom w:w="0" w:type="dxa"/>
              <w:right w:w="108" w:type="dxa"/>
            </w:tcMar>
            <w:hideMark/>
          </w:tcPr>
          <w:p w14:paraId="48FAFB8F" w14:textId="77777777" w:rsidR="006E3392" w:rsidRPr="00EB660F" w:rsidRDefault="000F10A2" w:rsidP="00BD195E">
            <w:pPr>
              <w:spacing w:after="0"/>
              <w:rPr>
                <w:b/>
                <w:bCs/>
                <w:color w:val="000000" w:themeColor="text1"/>
                <w:sz w:val="20"/>
                <w:szCs w:val="20"/>
              </w:rPr>
            </w:pPr>
            <w:r w:rsidRPr="00EB660F">
              <w:rPr>
                <w:b/>
                <w:bCs/>
                <w:color w:val="000000" w:themeColor="text1"/>
                <w:sz w:val="20"/>
                <w:szCs w:val="20"/>
              </w:rPr>
              <w:t>Allocator</w:t>
            </w:r>
            <w:r w:rsidR="00411B69" w:rsidRPr="00EB660F">
              <w:rPr>
                <w:b/>
                <w:bCs/>
                <w:color w:val="000000" w:themeColor="text1"/>
                <w:sz w:val="20"/>
                <w:szCs w:val="20"/>
              </w:rPr>
              <w:t xml:space="preserve"> Notes / Comments</w:t>
            </w:r>
          </w:p>
          <w:p w14:paraId="5F917AE8" w14:textId="77777777" w:rsidR="006E3392" w:rsidRPr="00EB660F" w:rsidRDefault="006E3392" w:rsidP="00701452">
            <w:pPr>
              <w:spacing w:after="0"/>
              <w:rPr>
                <w:b/>
                <w:bCs/>
                <w:color w:val="000000" w:themeColor="text1"/>
                <w:sz w:val="20"/>
                <w:szCs w:val="20"/>
              </w:rPr>
            </w:pPr>
            <w:r w:rsidRPr="00EB660F">
              <w:rPr>
                <w:bCs/>
                <w:i/>
                <w:color w:val="000000" w:themeColor="text1"/>
                <w:sz w:val="20"/>
                <w:szCs w:val="20"/>
              </w:rPr>
              <w:t>(</w:t>
            </w:r>
            <w:r w:rsidR="00701452" w:rsidRPr="00EB660F">
              <w:rPr>
                <w:bCs/>
                <w:i/>
                <w:color w:val="000000" w:themeColor="text1"/>
                <w:sz w:val="20"/>
                <w:szCs w:val="20"/>
              </w:rPr>
              <w:t xml:space="preserve">To be completed by </w:t>
            </w:r>
            <w:r w:rsidR="00701452" w:rsidRPr="00EB660F">
              <w:rPr>
                <w:bCs/>
                <w:i/>
                <w:color w:val="000000" w:themeColor="text1"/>
                <w:sz w:val="20"/>
                <w:szCs w:val="20"/>
                <w:u w:val="single"/>
              </w:rPr>
              <w:t>a</w:t>
            </w:r>
            <w:r w:rsidR="000F10A2" w:rsidRPr="00EB660F">
              <w:rPr>
                <w:bCs/>
                <w:i/>
                <w:color w:val="000000" w:themeColor="text1"/>
                <w:sz w:val="20"/>
                <w:szCs w:val="20"/>
                <w:u w:val="single"/>
              </w:rPr>
              <w:t>llocator</w:t>
            </w:r>
            <w:r w:rsidRPr="00EB660F">
              <w:rPr>
                <w:bCs/>
                <w:i/>
                <w:color w:val="000000" w:themeColor="text1"/>
                <w:sz w:val="20"/>
                <w:szCs w:val="20"/>
                <w:u w:val="single"/>
              </w:rPr>
              <w:t xml:space="preserve"> only</w:t>
            </w:r>
            <w:r w:rsidRPr="00EB660F">
              <w:rPr>
                <w:bCs/>
                <w:i/>
                <w:color w:val="000000" w:themeColor="text1"/>
                <w:sz w:val="20"/>
                <w:szCs w:val="20"/>
              </w:rPr>
              <w:t>)</w:t>
            </w:r>
          </w:p>
        </w:tc>
        <w:tc>
          <w:tcPr>
            <w:tcW w:w="7217" w:type="dxa"/>
            <w:gridSpan w:val="3"/>
            <w:shd w:val="clear" w:color="auto" w:fill="CCFFCC"/>
            <w:tcMar>
              <w:top w:w="0" w:type="dxa"/>
              <w:left w:w="108" w:type="dxa"/>
              <w:bottom w:w="0" w:type="dxa"/>
              <w:right w:w="108" w:type="dxa"/>
            </w:tcMar>
          </w:tcPr>
          <w:p w14:paraId="6B250DF0" w14:textId="77777777" w:rsidR="006E3392" w:rsidRPr="00EB660F" w:rsidRDefault="006E3392" w:rsidP="00BD195E">
            <w:pPr>
              <w:spacing w:after="0"/>
              <w:rPr>
                <w:bCs/>
                <w:i/>
                <w:color w:val="000000" w:themeColor="text1"/>
                <w:sz w:val="20"/>
                <w:szCs w:val="20"/>
              </w:rPr>
            </w:pPr>
            <w:r w:rsidRPr="00EB660F">
              <w:rPr>
                <w:bCs/>
                <w:i/>
                <w:color w:val="000000" w:themeColor="text1"/>
                <w:sz w:val="20"/>
                <w:szCs w:val="20"/>
              </w:rPr>
              <w:t>(</w:t>
            </w:r>
            <w:r w:rsidR="00411B69" w:rsidRPr="00EB660F">
              <w:rPr>
                <w:bCs/>
                <w:i/>
                <w:color w:val="000000" w:themeColor="text1"/>
                <w:sz w:val="20"/>
                <w:szCs w:val="20"/>
              </w:rPr>
              <w:t xml:space="preserve">Notes/Comments - </w:t>
            </w:r>
            <w:r w:rsidRPr="00EB660F">
              <w:rPr>
                <w:bCs/>
                <w:i/>
                <w:color w:val="000000" w:themeColor="text1"/>
                <w:sz w:val="20"/>
                <w:szCs w:val="20"/>
              </w:rPr>
              <w:t>Optional field)</w:t>
            </w:r>
          </w:p>
          <w:p w14:paraId="0794B377" w14:textId="77777777" w:rsidR="006E3392" w:rsidRPr="00EB660F" w:rsidRDefault="006E3392" w:rsidP="00BD195E">
            <w:pPr>
              <w:spacing w:after="0"/>
              <w:rPr>
                <w:color w:val="000000" w:themeColor="text1"/>
                <w:sz w:val="20"/>
                <w:szCs w:val="20"/>
              </w:rPr>
            </w:pPr>
          </w:p>
        </w:tc>
      </w:tr>
      <w:tr w:rsidR="00EB660F" w:rsidRPr="00EB660F" w14:paraId="30C72AF4" w14:textId="77777777" w:rsidTr="00701452">
        <w:tblPrEx>
          <w:shd w:val="clear" w:color="auto" w:fill="CCFFCC"/>
        </w:tblPrEx>
        <w:trPr>
          <w:trHeight w:val="665"/>
        </w:trPr>
        <w:tc>
          <w:tcPr>
            <w:tcW w:w="2359" w:type="dxa"/>
            <w:vMerge/>
            <w:shd w:val="clear" w:color="auto" w:fill="CCFFCC"/>
            <w:tcMar>
              <w:top w:w="0" w:type="dxa"/>
              <w:left w:w="108" w:type="dxa"/>
              <w:bottom w:w="0" w:type="dxa"/>
              <w:right w:w="108" w:type="dxa"/>
            </w:tcMar>
          </w:tcPr>
          <w:p w14:paraId="47AFD4E8" w14:textId="77777777" w:rsidR="006E3392" w:rsidRPr="00EB660F" w:rsidRDefault="006E3392" w:rsidP="00BD195E">
            <w:pPr>
              <w:spacing w:after="0"/>
              <w:rPr>
                <w:b/>
                <w:bCs/>
                <w:color w:val="000000" w:themeColor="text1"/>
                <w:sz w:val="20"/>
                <w:szCs w:val="20"/>
              </w:rPr>
            </w:pPr>
          </w:p>
        </w:tc>
        <w:tc>
          <w:tcPr>
            <w:tcW w:w="7217" w:type="dxa"/>
            <w:gridSpan w:val="3"/>
            <w:shd w:val="clear" w:color="auto" w:fill="CCFFCC"/>
            <w:tcMar>
              <w:top w:w="0" w:type="dxa"/>
              <w:left w:w="108" w:type="dxa"/>
              <w:bottom w:w="0" w:type="dxa"/>
              <w:right w:w="108" w:type="dxa"/>
            </w:tcMar>
          </w:tcPr>
          <w:p w14:paraId="3F87A604" w14:textId="77777777" w:rsidR="006E3392" w:rsidRPr="00EB660F" w:rsidRDefault="006E3392" w:rsidP="00BD195E">
            <w:pPr>
              <w:spacing w:after="0" w:line="240" w:lineRule="auto"/>
              <w:rPr>
                <w:i/>
                <w:color w:val="000000" w:themeColor="text1"/>
                <w:sz w:val="20"/>
                <w:szCs w:val="20"/>
              </w:rPr>
            </w:pPr>
            <w:r w:rsidRPr="00EB660F">
              <w:rPr>
                <w:i/>
                <w:color w:val="000000" w:themeColor="text1"/>
                <w:sz w:val="20"/>
                <w:szCs w:val="20"/>
              </w:rPr>
              <w:t>(Criteria checklist)</w:t>
            </w:r>
          </w:p>
          <w:p w14:paraId="51F8CA35" w14:textId="77777777" w:rsidR="006E3392" w:rsidRPr="00EB660F" w:rsidRDefault="002154FD" w:rsidP="00BD195E">
            <w:pPr>
              <w:spacing w:after="0" w:line="240" w:lineRule="auto"/>
              <w:rPr>
                <w:color w:val="000000" w:themeColor="text1"/>
                <w:sz w:val="20"/>
                <w:szCs w:val="20"/>
              </w:rPr>
            </w:pPr>
            <w:sdt>
              <w:sdtPr>
                <w:rPr>
                  <w:color w:val="000000" w:themeColor="text1"/>
                  <w:sz w:val="20"/>
                  <w:szCs w:val="20"/>
                </w:rPr>
                <w:id w:val="1273205180"/>
                <w14:checkbox>
                  <w14:checked w14:val="0"/>
                  <w14:checkedState w14:val="2612" w14:font="MS Gothic"/>
                  <w14:uncheckedState w14:val="2610" w14:font="MS Gothic"/>
                </w14:checkbox>
              </w:sdtPr>
              <w:sdtEndPr/>
              <w:sdtContent>
                <w:r w:rsidR="00411B69" w:rsidRPr="00EB660F">
                  <w:rPr>
                    <w:rFonts w:ascii="MS Gothic" w:eastAsia="MS Gothic" w:hAnsi="MS Gothic" w:cs="MS Gothic" w:hint="eastAsia"/>
                    <w:color w:val="000000" w:themeColor="text1"/>
                    <w:sz w:val="20"/>
                    <w:szCs w:val="20"/>
                  </w:rPr>
                  <w:t>☐</w:t>
                </w:r>
              </w:sdtContent>
            </w:sdt>
            <w:r w:rsidR="006E3392" w:rsidRPr="00EB660F">
              <w:rPr>
                <w:color w:val="000000" w:themeColor="text1"/>
                <w:sz w:val="20"/>
                <w:szCs w:val="20"/>
              </w:rPr>
              <w:t xml:space="preserve"> Is this an </w:t>
            </w:r>
            <w:r w:rsidR="006E3392" w:rsidRPr="00EB660F">
              <w:rPr>
                <w:color w:val="000000" w:themeColor="text1"/>
                <w:sz w:val="20"/>
                <w:szCs w:val="20"/>
                <w:u w:val="single"/>
              </w:rPr>
              <w:t>unforeseen</w:t>
            </w:r>
            <w:r w:rsidR="006E3392" w:rsidRPr="00EB660F">
              <w:rPr>
                <w:color w:val="000000" w:themeColor="text1"/>
                <w:sz w:val="20"/>
                <w:szCs w:val="20"/>
              </w:rPr>
              <w:t xml:space="preserve"> opportunity or a genuinely new idea to advance core open society commitments?</w:t>
            </w:r>
          </w:p>
          <w:p w14:paraId="50723C87" w14:textId="77777777" w:rsidR="006E3392" w:rsidRPr="00EB660F" w:rsidRDefault="002154FD" w:rsidP="00BD195E">
            <w:pPr>
              <w:spacing w:after="0" w:line="240" w:lineRule="auto"/>
              <w:rPr>
                <w:color w:val="000000" w:themeColor="text1"/>
                <w:sz w:val="20"/>
                <w:szCs w:val="20"/>
              </w:rPr>
            </w:pPr>
            <w:sdt>
              <w:sdtPr>
                <w:rPr>
                  <w:color w:val="000000" w:themeColor="text1"/>
                  <w:sz w:val="20"/>
                  <w:szCs w:val="20"/>
                </w:rPr>
                <w:id w:val="1128120576"/>
                <w14:checkbox>
                  <w14:checked w14:val="0"/>
                  <w14:checkedState w14:val="2612" w14:font="MS Gothic"/>
                  <w14:uncheckedState w14:val="2610" w14:font="MS Gothic"/>
                </w14:checkbox>
              </w:sdtPr>
              <w:sdtEndPr/>
              <w:sdtContent>
                <w:r w:rsidR="00411B69" w:rsidRPr="00EB660F">
                  <w:rPr>
                    <w:rFonts w:ascii="MS Gothic" w:eastAsia="MS Gothic" w:hAnsi="MS Gothic" w:cs="MS Gothic" w:hint="eastAsia"/>
                    <w:color w:val="000000" w:themeColor="text1"/>
                    <w:sz w:val="20"/>
                    <w:szCs w:val="20"/>
                  </w:rPr>
                  <w:t>☐</w:t>
                </w:r>
              </w:sdtContent>
            </w:sdt>
            <w:r w:rsidR="006E3392" w:rsidRPr="00EB660F">
              <w:rPr>
                <w:color w:val="000000" w:themeColor="text1"/>
                <w:sz w:val="20"/>
                <w:szCs w:val="20"/>
              </w:rPr>
              <w:t xml:space="preserve"> Is the need time-sensitive?  </w:t>
            </w:r>
          </w:p>
          <w:p w14:paraId="4988E8C0" w14:textId="77777777" w:rsidR="006E3392" w:rsidRPr="00EB660F" w:rsidRDefault="002154FD" w:rsidP="00BD195E">
            <w:pPr>
              <w:spacing w:after="0" w:line="240" w:lineRule="auto"/>
              <w:rPr>
                <w:color w:val="000000" w:themeColor="text1"/>
                <w:sz w:val="20"/>
                <w:szCs w:val="20"/>
              </w:rPr>
            </w:pPr>
            <w:sdt>
              <w:sdtPr>
                <w:rPr>
                  <w:color w:val="000000" w:themeColor="text1"/>
                  <w:sz w:val="20"/>
                  <w:szCs w:val="20"/>
                </w:rPr>
                <w:id w:val="-2042427662"/>
                <w14:checkbox>
                  <w14:checked w14:val="0"/>
                  <w14:checkedState w14:val="2612" w14:font="MS Gothic"/>
                  <w14:uncheckedState w14:val="2610" w14:font="MS Gothic"/>
                </w14:checkbox>
              </w:sdtPr>
              <w:sdtEndPr/>
              <w:sdtContent>
                <w:r w:rsidR="00411B69" w:rsidRPr="00EB660F">
                  <w:rPr>
                    <w:rFonts w:ascii="MS Gothic" w:eastAsia="MS Gothic" w:hAnsi="MS Gothic" w:cs="MS Gothic" w:hint="eastAsia"/>
                    <w:color w:val="000000" w:themeColor="text1"/>
                    <w:sz w:val="20"/>
                    <w:szCs w:val="20"/>
                  </w:rPr>
                  <w:t>☐</w:t>
                </w:r>
              </w:sdtContent>
            </w:sdt>
            <w:r w:rsidR="006E3392" w:rsidRPr="00EB660F">
              <w:rPr>
                <w:color w:val="000000" w:themeColor="text1"/>
                <w:sz w:val="20"/>
                <w:szCs w:val="20"/>
              </w:rPr>
              <w:t xml:space="preserve"> Are we proposing to do something that others are not doing?  </w:t>
            </w:r>
          </w:p>
          <w:p w14:paraId="2455E232" w14:textId="77777777" w:rsidR="006E3392" w:rsidRPr="00EB660F" w:rsidRDefault="002154FD" w:rsidP="00BD195E">
            <w:pPr>
              <w:spacing w:after="0" w:line="240" w:lineRule="auto"/>
              <w:rPr>
                <w:color w:val="000000" w:themeColor="text1"/>
                <w:sz w:val="20"/>
                <w:szCs w:val="20"/>
              </w:rPr>
            </w:pPr>
            <w:sdt>
              <w:sdtPr>
                <w:rPr>
                  <w:color w:val="000000" w:themeColor="text1"/>
                  <w:sz w:val="20"/>
                  <w:szCs w:val="20"/>
                </w:rPr>
                <w:id w:val="-985391662"/>
                <w14:checkbox>
                  <w14:checked w14:val="0"/>
                  <w14:checkedState w14:val="2612" w14:font="MS Gothic"/>
                  <w14:uncheckedState w14:val="2610" w14:font="MS Gothic"/>
                </w14:checkbox>
              </w:sdtPr>
              <w:sdtEndPr/>
              <w:sdtContent>
                <w:r w:rsidR="00411B69" w:rsidRPr="00EB660F">
                  <w:rPr>
                    <w:rFonts w:ascii="MS Gothic" w:eastAsia="MS Gothic" w:hAnsi="MS Gothic" w:cs="MS Gothic" w:hint="eastAsia"/>
                    <w:color w:val="000000" w:themeColor="text1"/>
                    <w:sz w:val="20"/>
                    <w:szCs w:val="20"/>
                  </w:rPr>
                  <w:t>☐</w:t>
                </w:r>
              </w:sdtContent>
            </w:sdt>
            <w:r w:rsidR="006E3392" w:rsidRPr="00EB660F">
              <w:rPr>
                <w:color w:val="000000" w:themeColor="text1"/>
                <w:sz w:val="20"/>
                <w:szCs w:val="20"/>
              </w:rPr>
              <w:t xml:space="preserve"> Is the plan compelling?  </w:t>
            </w:r>
          </w:p>
          <w:p w14:paraId="0DD366D8" w14:textId="77777777" w:rsidR="006E3392" w:rsidRPr="00EB660F" w:rsidRDefault="002154FD" w:rsidP="00BD195E">
            <w:pPr>
              <w:spacing w:after="0" w:line="240" w:lineRule="auto"/>
              <w:rPr>
                <w:color w:val="000000" w:themeColor="text1"/>
                <w:sz w:val="20"/>
                <w:szCs w:val="20"/>
              </w:rPr>
            </w:pPr>
            <w:sdt>
              <w:sdtPr>
                <w:rPr>
                  <w:color w:val="000000" w:themeColor="text1"/>
                  <w:sz w:val="20"/>
                  <w:szCs w:val="20"/>
                </w:rPr>
                <w:id w:val="1419915727"/>
                <w14:checkbox>
                  <w14:checked w14:val="0"/>
                  <w14:checkedState w14:val="2612" w14:font="MS Gothic"/>
                  <w14:uncheckedState w14:val="2610" w14:font="MS Gothic"/>
                </w14:checkbox>
              </w:sdtPr>
              <w:sdtEndPr/>
              <w:sdtContent>
                <w:r w:rsidR="00411B69" w:rsidRPr="00EB660F">
                  <w:rPr>
                    <w:rFonts w:ascii="MS Gothic" w:eastAsia="MS Gothic" w:hAnsi="MS Gothic" w:cs="MS Gothic" w:hint="eastAsia"/>
                    <w:color w:val="000000" w:themeColor="text1"/>
                    <w:sz w:val="20"/>
                    <w:szCs w:val="20"/>
                  </w:rPr>
                  <w:t>☐</w:t>
                </w:r>
              </w:sdtContent>
            </w:sdt>
            <w:r w:rsidR="006E3392" w:rsidRPr="00EB660F">
              <w:rPr>
                <w:color w:val="000000" w:themeColor="text1"/>
                <w:sz w:val="20"/>
                <w:szCs w:val="20"/>
              </w:rPr>
              <w:t xml:space="preserve"> Does the planned activity take good advantage of OSF capacity?  </w:t>
            </w:r>
          </w:p>
          <w:p w14:paraId="021D154F" w14:textId="77777777" w:rsidR="006E3392" w:rsidRPr="00EB660F" w:rsidRDefault="002154FD" w:rsidP="00BD195E">
            <w:pPr>
              <w:spacing w:after="0" w:line="240" w:lineRule="auto"/>
              <w:rPr>
                <w:color w:val="000000" w:themeColor="text1"/>
                <w:sz w:val="20"/>
                <w:szCs w:val="20"/>
              </w:rPr>
            </w:pPr>
            <w:sdt>
              <w:sdtPr>
                <w:rPr>
                  <w:color w:val="000000" w:themeColor="text1"/>
                  <w:sz w:val="20"/>
                  <w:szCs w:val="20"/>
                </w:rPr>
                <w:id w:val="285173104"/>
                <w14:checkbox>
                  <w14:checked w14:val="0"/>
                  <w14:checkedState w14:val="2612" w14:font="MS Gothic"/>
                  <w14:uncheckedState w14:val="2610" w14:font="MS Gothic"/>
                </w14:checkbox>
              </w:sdtPr>
              <w:sdtEndPr/>
              <w:sdtContent>
                <w:r w:rsidR="00411B69" w:rsidRPr="00EB660F">
                  <w:rPr>
                    <w:rFonts w:ascii="MS Gothic" w:eastAsia="MS Gothic" w:hAnsi="MS Gothic" w:cs="MS Gothic" w:hint="eastAsia"/>
                    <w:color w:val="000000" w:themeColor="text1"/>
                    <w:sz w:val="20"/>
                    <w:szCs w:val="20"/>
                  </w:rPr>
                  <w:t>☐</w:t>
                </w:r>
              </w:sdtContent>
            </w:sdt>
            <w:r w:rsidR="006E3392" w:rsidRPr="00EB660F">
              <w:rPr>
                <w:color w:val="000000" w:themeColor="text1"/>
                <w:sz w:val="20"/>
                <w:szCs w:val="20"/>
              </w:rPr>
              <w:t xml:space="preserve"> Is the team leading the work up to the task?  </w:t>
            </w:r>
          </w:p>
        </w:tc>
      </w:tr>
      <w:tr w:rsidR="00EB660F" w:rsidRPr="00EB660F" w14:paraId="73FC1FC3" w14:textId="77777777" w:rsidTr="00411B69">
        <w:trPr>
          <w:trHeight w:val="511"/>
        </w:trPr>
        <w:tc>
          <w:tcPr>
            <w:tcW w:w="2359" w:type="dxa"/>
            <w:tcMar>
              <w:top w:w="0" w:type="dxa"/>
              <w:left w:w="108" w:type="dxa"/>
              <w:bottom w:w="0" w:type="dxa"/>
              <w:right w:w="108" w:type="dxa"/>
            </w:tcMar>
          </w:tcPr>
          <w:p w14:paraId="63C78F68" w14:textId="77777777" w:rsidR="00701452" w:rsidRPr="00EB660F" w:rsidRDefault="00701452" w:rsidP="00BD195E">
            <w:pPr>
              <w:spacing w:after="0"/>
              <w:rPr>
                <w:b/>
                <w:bCs/>
                <w:color w:val="000000" w:themeColor="text1"/>
                <w:sz w:val="20"/>
                <w:szCs w:val="20"/>
              </w:rPr>
            </w:pPr>
            <w:r w:rsidRPr="00EB660F">
              <w:rPr>
                <w:b/>
                <w:bCs/>
                <w:color w:val="000000" w:themeColor="text1"/>
                <w:sz w:val="20"/>
                <w:szCs w:val="20"/>
              </w:rPr>
              <w:t>Urgency level for grant approval &amp; payments</w:t>
            </w:r>
          </w:p>
        </w:tc>
        <w:tc>
          <w:tcPr>
            <w:tcW w:w="3556" w:type="dxa"/>
            <w:gridSpan w:val="2"/>
            <w:tcMar>
              <w:top w:w="0" w:type="dxa"/>
              <w:left w:w="108" w:type="dxa"/>
              <w:bottom w:w="0" w:type="dxa"/>
              <w:right w:w="108" w:type="dxa"/>
            </w:tcMar>
            <w:vAlign w:val="center"/>
          </w:tcPr>
          <w:p w14:paraId="79D58589" w14:textId="3B2E4C44" w:rsidR="00701452" w:rsidRPr="00EB660F" w:rsidRDefault="002154FD" w:rsidP="00411B69">
            <w:pPr>
              <w:pStyle w:val="ColorfulList-Accent11"/>
              <w:spacing w:after="0" w:line="240" w:lineRule="auto"/>
              <w:ind w:left="0"/>
              <w:rPr>
                <w:rFonts w:asciiTheme="minorHAnsi" w:hAnsiTheme="minorHAnsi"/>
                <w:color w:val="000000" w:themeColor="text1"/>
                <w:sz w:val="20"/>
                <w:szCs w:val="20"/>
              </w:rPr>
            </w:pPr>
            <w:sdt>
              <w:sdtPr>
                <w:rPr>
                  <w:rFonts w:asciiTheme="minorHAnsi" w:hAnsiTheme="minorHAnsi"/>
                  <w:color w:val="000000" w:themeColor="text1"/>
                  <w:sz w:val="20"/>
                  <w:szCs w:val="20"/>
                </w:rPr>
                <w:id w:val="-1431961457"/>
                <w14:checkbox>
                  <w14:checked w14:val="0"/>
                  <w14:checkedState w14:val="2612" w14:font="MS Gothic"/>
                  <w14:uncheckedState w14:val="2610" w14:font="MS Gothic"/>
                </w14:checkbox>
              </w:sdtPr>
              <w:sdtEndPr/>
              <w:sdtContent>
                <w:r w:rsidR="00ED2657">
                  <w:rPr>
                    <w:rFonts w:ascii="MS Gothic" w:eastAsia="MS Gothic" w:hAnsi="MS Gothic" w:cs="MS Gothic" w:hint="eastAsia"/>
                    <w:color w:val="000000" w:themeColor="text1"/>
                    <w:sz w:val="20"/>
                    <w:szCs w:val="20"/>
                  </w:rPr>
                  <w:t>☐</w:t>
                </w:r>
              </w:sdtContent>
            </w:sdt>
            <w:r w:rsidR="00411B69" w:rsidRPr="00EB660F">
              <w:rPr>
                <w:rFonts w:asciiTheme="minorHAnsi" w:hAnsiTheme="minorHAnsi"/>
                <w:color w:val="000000" w:themeColor="text1"/>
                <w:sz w:val="20"/>
                <w:szCs w:val="20"/>
              </w:rPr>
              <w:t xml:space="preserve"> </w:t>
            </w:r>
            <w:r w:rsidR="00701452" w:rsidRPr="00EB660F">
              <w:rPr>
                <w:rFonts w:asciiTheme="minorHAnsi" w:hAnsiTheme="minorHAnsi"/>
                <w:b/>
                <w:color w:val="000000" w:themeColor="text1"/>
                <w:sz w:val="20"/>
                <w:szCs w:val="20"/>
                <w:u w:val="single"/>
              </w:rPr>
              <w:t>Not</w:t>
            </w:r>
            <w:r w:rsidR="00701452" w:rsidRPr="00EB660F">
              <w:rPr>
                <w:rFonts w:asciiTheme="minorHAnsi" w:hAnsiTheme="minorHAnsi"/>
                <w:color w:val="000000" w:themeColor="text1"/>
                <w:sz w:val="20"/>
                <w:szCs w:val="20"/>
              </w:rPr>
              <w:t xml:space="preserve"> Rapid Response </w:t>
            </w:r>
          </w:p>
        </w:tc>
        <w:tc>
          <w:tcPr>
            <w:tcW w:w="3661" w:type="dxa"/>
            <w:vAlign w:val="center"/>
          </w:tcPr>
          <w:p w14:paraId="0F70C32C" w14:textId="2D5F9A1C" w:rsidR="00701452" w:rsidRPr="00EB660F" w:rsidRDefault="00701452" w:rsidP="00411B69">
            <w:pPr>
              <w:pStyle w:val="ColorfulList-Accent11"/>
              <w:spacing w:after="0" w:line="240" w:lineRule="auto"/>
              <w:ind w:left="0"/>
              <w:rPr>
                <w:rFonts w:asciiTheme="minorHAnsi" w:hAnsiTheme="minorHAnsi"/>
                <w:color w:val="000000" w:themeColor="text1"/>
                <w:sz w:val="20"/>
                <w:szCs w:val="20"/>
              </w:rPr>
            </w:pPr>
            <w:r w:rsidRPr="00EB660F">
              <w:rPr>
                <w:rFonts w:asciiTheme="minorHAnsi" w:hAnsiTheme="minorHAnsi"/>
                <w:color w:val="000000" w:themeColor="text1"/>
                <w:sz w:val="20"/>
                <w:szCs w:val="20"/>
              </w:rPr>
              <w:t xml:space="preserve">  </w:t>
            </w:r>
            <w:sdt>
              <w:sdtPr>
                <w:rPr>
                  <w:rFonts w:asciiTheme="minorHAnsi" w:hAnsiTheme="minorHAnsi"/>
                  <w:color w:val="000000" w:themeColor="text1"/>
                  <w:sz w:val="20"/>
                  <w:szCs w:val="20"/>
                </w:rPr>
                <w:id w:val="-1454474560"/>
                <w14:checkbox>
                  <w14:checked w14:val="1"/>
                  <w14:checkedState w14:val="2612" w14:font="MS Gothic"/>
                  <w14:uncheckedState w14:val="2610" w14:font="MS Gothic"/>
                </w14:checkbox>
              </w:sdtPr>
              <w:sdtEndPr/>
              <w:sdtContent>
                <w:r w:rsidR="00ED2657">
                  <w:rPr>
                    <w:rFonts w:ascii="MS Gothic" w:eastAsia="MS Gothic" w:hAnsi="MS Gothic" w:cs="MS Gothic" w:hint="eastAsia"/>
                    <w:color w:val="000000" w:themeColor="text1"/>
                    <w:sz w:val="20"/>
                    <w:szCs w:val="20"/>
                  </w:rPr>
                  <w:t>☒</w:t>
                </w:r>
              </w:sdtContent>
            </w:sdt>
            <w:r w:rsidR="00411B69" w:rsidRPr="00EB660F">
              <w:rPr>
                <w:rFonts w:asciiTheme="minorHAnsi" w:hAnsiTheme="minorHAnsi"/>
                <w:color w:val="000000" w:themeColor="text1"/>
                <w:sz w:val="20"/>
                <w:szCs w:val="20"/>
              </w:rPr>
              <w:t xml:space="preserve"> </w:t>
            </w:r>
            <w:r w:rsidRPr="00EB660F">
              <w:rPr>
                <w:rFonts w:asciiTheme="minorHAnsi" w:hAnsiTheme="minorHAnsi"/>
                <w:color w:val="000000" w:themeColor="text1"/>
                <w:sz w:val="20"/>
                <w:szCs w:val="20"/>
              </w:rPr>
              <w:t xml:space="preserve">Rapid Response </w:t>
            </w:r>
            <w:r w:rsidR="00411B69" w:rsidRPr="00EB660F">
              <w:rPr>
                <w:rFonts w:asciiTheme="minorHAnsi" w:hAnsiTheme="minorHAnsi"/>
                <w:bCs/>
                <w:i/>
                <w:color w:val="000000" w:themeColor="text1"/>
                <w:sz w:val="20"/>
                <w:szCs w:val="20"/>
              </w:rPr>
              <w:t xml:space="preserve">(See procedure on </w:t>
            </w:r>
            <w:hyperlink r:id="rId10" w:history="1">
              <w:r w:rsidR="00411B69" w:rsidRPr="00EB660F">
                <w:rPr>
                  <w:rStyle w:val="Hyperlink"/>
                  <w:rFonts w:asciiTheme="minorHAnsi" w:hAnsiTheme="minorHAnsi"/>
                  <w:bCs/>
                  <w:i/>
                  <w:color w:val="000000" w:themeColor="text1"/>
                  <w:sz w:val="20"/>
                  <w:szCs w:val="20"/>
                </w:rPr>
                <w:t>KARL</w:t>
              </w:r>
            </w:hyperlink>
            <w:r w:rsidR="00411B69" w:rsidRPr="00EB660F">
              <w:rPr>
                <w:rFonts w:asciiTheme="minorHAnsi" w:hAnsiTheme="minorHAnsi"/>
                <w:bCs/>
                <w:i/>
                <w:color w:val="000000" w:themeColor="text1"/>
                <w:sz w:val="20"/>
                <w:szCs w:val="20"/>
              </w:rPr>
              <w:t>)</w:t>
            </w:r>
          </w:p>
        </w:tc>
      </w:tr>
      <w:tr w:rsidR="00EB660F" w:rsidRPr="00EB660F" w14:paraId="2181BC06" w14:textId="77777777" w:rsidTr="00701452">
        <w:trPr>
          <w:trHeight w:val="287"/>
        </w:trPr>
        <w:tc>
          <w:tcPr>
            <w:tcW w:w="2359" w:type="dxa"/>
            <w:vMerge w:val="restart"/>
            <w:tcMar>
              <w:top w:w="0" w:type="dxa"/>
              <w:left w:w="108" w:type="dxa"/>
              <w:bottom w:w="0" w:type="dxa"/>
              <w:right w:w="108" w:type="dxa"/>
            </w:tcMar>
          </w:tcPr>
          <w:p w14:paraId="2A5B5F32" w14:textId="77777777" w:rsidR="00701452" w:rsidRPr="00EB660F" w:rsidRDefault="00701452" w:rsidP="00BD195E">
            <w:pPr>
              <w:spacing w:after="0"/>
              <w:rPr>
                <w:b/>
                <w:bCs/>
                <w:color w:val="000000" w:themeColor="text1"/>
                <w:sz w:val="20"/>
                <w:szCs w:val="20"/>
              </w:rPr>
            </w:pPr>
            <w:r w:rsidRPr="00EB660F">
              <w:rPr>
                <w:b/>
                <w:bCs/>
                <w:color w:val="000000" w:themeColor="text1"/>
                <w:sz w:val="20"/>
                <w:szCs w:val="20"/>
              </w:rPr>
              <w:t xml:space="preserve">If approved, </w:t>
            </w:r>
            <w:r w:rsidR="00B569C2" w:rsidRPr="00EB660F">
              <w:rPr>
                <w:b/>
                <w:bCs/>
                <w:color w:val="000000" w:themeColor="text1"/>
                <w:sz w:val="20"/>
                <w:szCs w:val="20"/>
              </w:rPr>
              <w:t>where</w:t>
            </w:r>
            <w:r w:rsidRPr="00EB660F">
              <w:rPr>
                <w:b/>
                <w:bCs/>
                <w:color w:val="000000" w:themeColor="text1"/>
                <w:sz w:val="20"/>
                <w:szCs w:val="20"/>
              </w:rPr>
              <w:t xml:space="preserve"> </w:t>
            </w:r>
            <w:r w:rsidR="00411B69" w:rsidRPr="00EB660F">
              <w:rPr>
                <w:b/>
                <w:bCs/>
                <w:color w:val="000000" w:themeColor="text1"/>
                <w:sz w:val="20"/>
                <w:szCs w:val="20"/>
              </w:rPr>
              <w:t xml:space="preserve">to allocate the </w:t>
            </w:r>
            <w:r w:rsidRPr="00EB660F">
              <w:rPr>
                <w:b/>
                <w:bCs/>
                <w:color w:val="000000" w:themeColor="text1"/>
                <w:sz w:val="20"/>
                <w:szCs w:val="20"/>
              </w:rPr>
              <w:t xml:space="preserve">budget? </w:t>
            </w:r>
          </w:p>
          <w:p w14:paraId="0E5FD59D" w14:textId="77777777" w:rsidR="00701452" w:rsidRPr="00EB660F" w:rsidRDefault="00701452" w:rsidP="00BD195E">
            <w:pPr>
              <w:spacing w:after="0"/>
              <w:rPr>
                <w:b/>
                <w:bCs/>
                <w:color w:val="000000" w:themeColor="text1"/>
                <w:sz w:val="20"/>
                <w:szCs w:val="20"/>
              </w:rPr>
            </w:pPr>
            <w:r w:rsidRPr="00EB660F">
              <w:rPr>
                <w:bCs/>
                <w:i/>
                <w:color w:val="000000" w:themeColor="text1"/>
                <w:sz w:val="20"/>
                <w:szCs w:val="20"/>
              </w:rPr>
              <w:t>(If the budget is split between multiple programs, please copy/paste this section as needed.)</w:t>
            </w:r>
          </w:p>
        </w:tc>
        <w:tc>
          <w:tcPr>
            <w:tcW w:w="3556" w:type="dxa"/>
            <w:gridSpan w:val="2"/>
            <w:tcMar>
              <w:top w:w="0" w:type="dxa"/>
              <w:left w:w="108" w:type="dxa"/>
              <w:bottom w:w="0" w:type="dxa"/>
              <w:right w:w="108" w:type="dxa"/>
            </w:tcMar>
          </w:tcPr>
          <w:p w14:paraId="0D92905A" w14:textId="77777777" w:rsidR="00701452" w:rsidRPr="00EB660F" w:rsidRDefault="00701452" w:rsidP="00BD195E">
            <w:pPr>
              <w:pStyle w:val="ColorfulList-Accent11"/>
              <w:spacing w:after="0" w:line="240" w:lineRule="auto"/>
              <w:ind w:left="0"/>
              <w:rPr>
                <w:rFonts w:asciiTheme="minorHAnsi" w:hAnsiTheme="minorHAnsi"/>
                <w:color w:val="000000" w:themeColor="text1"/>
                <w:sz w:val="20"/>
                <w:szCs w:val="20"/>
              </w:rPr>
            </w:pPr>
            <w:r w:rsidRPr="00EB660F">
              <w:rPr>
                <w:rFonts w:asciiTheme="minorHAnsi" w:hAnsiTheme="minorHAnsi"/>
                <w:color w:val="000000" w:themeColor="text1"/>
                <w:sz w:val="20"/>
                <w:szCs w:val="20"/>
              </w:rPr>
              <w:t>Amount</w:t>
            </w:r>
          </w:p>
        </w:tc>
        <w:tc>
          <w:tcPr>
            <w:tcW w:w="3661" w:type="dxa"/>
          </w:tcPr>
          <w:p w14:paraId="4AB87588" w14:textId="77777777" w:rsidR="00701452" w:rsidRPr="00EB660F" w:rsidRDefault="00701452" w:rsidP="00BD195E">
            <w:pPr>
              <w:pStyle w:val="ColorfulList-Accent11"/>
              <w:spacing w:after="0" w:line="240" w:lineRule="auto"/>
              <w:ind w:left="0"/>
              <w:rPr>
                <w:rFonts w:asciiTheme="minorHAnsi" w:hAnsiTheme="minorHAnsi"/>
                <w:color w:val="000000" w:themeColor="text1"/>
                <w:sz w:val="20"/>
                <w:szCs w:val="20"/>
              </w:rPr>
            </w:pPr>
          </w:p>
        </w:tc>
      </w:tr>
      <w:tr w:rsidR="00EB660F" w:rsidRPr="00EB660F" w14:paraId="2979D107" w14:textId="77777777" w:rsidTr="00701452">
        <w:trPr>
          <w:trHeight w:val="288"/>
        </w:trPr>
        <w:tc>
          <w:tcPr>
            <w:tcW w:w="2359" w:type="dxa"/>
            <w:vMerge/>
            <w:tcMar>
              <w:top w:w="0" w:type="dxa"/>
              <w:left w:w="108" w:type="dxa"/>
              <w:bottom w:w="0" w:type="dxa"/>
              <w:right w:w="108" w:type="dxa"/>
            </w:tcMar>
          </w:tcPr>
          <w:p w14:paraId="0916EEF3" w14:textId="77777777" w:rsidR="00701452" w:rsidRPr="00EB660F" w:rsidRDefault="00701452" w:rsidP="00BD195E">
            <w:pPr>
              <w:spacing w:after="0"/>
              <w:rPr>
                <w:b/>
                <w:bCs/>
                <w:color w:val="000000" w:themeColor="text1"/>
                <w:sz w:val="20"/>
                <w:szCs w:val="20"/>
              </w:rPr>
            </w:pPr>
          </w:p>
        </w:tc>
        <w:tc>
          <w:tcPr>
            <w:tcW w:w="3556" w:type="dxa"/>
            <w:gridSpan w:val="2"/>
            <w:tcMar>
              <w:top w:w="0" w:type="dxa"/>
              <w:left w:w="108" w:type="dxa"/>
              <w:bottom w:w="0" w:type="dxa"/>
              <w:right w:w="108" w:type="dxa"/>
            </w:tcMar>
          </w:tcPr>
          <w:p w14:paraId="4FD99FAB" w14:textId="77777777" w:rsidR="00701452" w:rsidRPr="00EB660F" w:rsidRDefault="00701452" w:rsidP="00BD195E">
            <w:pPr>
              <w:pStyle w:val="ColorfulList-Accent11"/>
              <w:spacing w:after="0" w:line="240" w:lineRule="auto"/>
              <w:ind w:left="0"/>
              <w:rPr>
                <w:rFonts w:asciiTheme="minorHAnsi" w:hAnsiTheme="minorHAnsi"/>
                <w:color w:val="000000" w:themeColor="text1"/>
                <w:sz w:val="20"/>
                <w:szCs w:val="20"/>
              </w:rPr>
            </w:pPr>
            <w:r w:rsidRPr="00EB660F">
              <w:rPr>
                <w:rFonts w:asciiTheme="minorHAnsi" w:hAnsiTheme="minorHAnsi"/>
                <w:color w:val="000000" w:themeColor="text1"/>
                <w:sz w:val="20"/>
                <w:szCs w:val="20"/>
              </w:rPr>
              <w:t>Category of Work</w:t>
            </w:r>
          </w:p>
        </w:tc>
        <w:tc>
          <w:tcPr>
            <w:tcW w:w="3661" w:type="dxa"/>
          </w:tcPr>
          <w:p w14:paraId="6ACF3038" w14:textId="77777777" w:rsidR="00701452" w:rsidRPr="00EB660F" w:rsidRDefault="00701452" w:rsidP="00BD195E">
            <w:pPr>
              <w:pStyle w:val="ColorfulList-Accent11"/>
              <w:spacing w:after="0" w:line="240" w:lineRule="auto"/>
              <w:ind w:left="0"/>
              <w:rPr>
                <w:rFonts w:asciiTheme="minorHAnsi" w:hAnsiTheme="minorHAnsi"/>
                <w:color w:val="000000" w:themeColor="text1"/>
                <w:sz w:val="20"/>
                <w:szCs w:val="20"/>
              </w:rPr>
            </w:pPr>
          </w:p>
        </w:tc>
      </w:tr>
      <w:tr w:rsidR="00EB660F" w:rsidRPr="00EB660F" w14:paraId="41479EA7" w14:textId="77777777" w:rsidTr="00701452">
        <w:trPr>
          <w:trHeight w:val="287"/>
        </w:trPr>
        <w:tc>
          <w:tcPr>
            <w:tcW w:w="2359" w:type="dxa"/>
            <w:vMerge/>
            <w:tcMar>
              <w:top w:w="0" w:type="dxa"/>
              <w:left w:w="108" w:type="dxa"/>
              <w:bottom w:w="0" w:type="dxa"/>
              <w:right w:w="108" w:type="dxa"/>
            </w:tcMar>
          </w:tcPr>
          <w:p w14:paraId="4154B69C" w14:textId="77777777" w:rsidR="00701452" w:rsidRPr="00EB660F" w:rsidRDefault="00701452" w:rsidP="00BD195E">
            <w:pPr>
              <w:spacing w:after="0"/>
              <w:rPr>
                <w:b/>
                <w:bCs/>
                <w:color w:val="000000" w:themeColor="text1"/>
                <w:sz w:val="20"/>
                <w:szCs w:val="20"/>
              </w:rPr>
            </w:pPr>
          </w:p>
        </w:tc>
        <w:tc>
          <w:tcPr>
            <w:tcW w:w="3556" w:type="dxa"/>
            <w:gridSpan w:val="2"/>
            <w:tcMar>
              <w:top w:w="0" w:type="dxa"/>
              <w:left w:w="108" w:type="dxa"/>
              <w:bottom w:w="0" w:type="dxa"/>
              <w:right w:w="108" w:type="dxa"/>
            </w:tcMar>
          </w:tcPr>
          <w:p w14:paraId="69EE59EF" w14:textId="77777777" w:rsidR="00701452" w:rsidRPr="00EB660F" w:rsidRDefault="00701452" w:rsidP="00BD195E">
            <w:pPr>
              <w:pStyle w:val="ColorfulList-Accent11"/>
              <w:spacing w:after="0" w:line="240" w:lineRule="auto"/>
              <w:ind w:left="0"/>
              <w:rPr>
                <w:rFonts w:asciiTheme="minorHAnsi" w:hAnsiTheme="minorHAnsi"/>
                <w:color w:val="000000" w:themeColor="text1"/>
                <w:sz w:val="20"/>
                <w:szCs w:val="20"/>
              </w:rPr>
            </w:pPr>
            <w:r w:rsidRPr="00EB660F">
              <w:rPr>
                <w:rFonts w:asciiTheme="minorHAnsi" w:hAnsiTheme="minorHAnsi"/>
                <w:color w:val="000000" w:themeColor="text1"/>
                <w:sz w:val="20"/>
                <w:szCs w:val="20"/>
              </w:rPr>
              <w:t>Division/Program Code</w:t>
            </w:r>
          </w:p>
        </w:tc>
        <w:tc>
          <w:tcPr>
            <w:tcW w:w="3661" w:type="dxa"/>
          </w:tcPr>
          <w:p w14:paraId="77FD08CD" w14:textId="77777777" w:rsidR="00701452" w:rsidRPr="00EB660F" w:rsidRDefault="00701452" w:rsidP="00BD195E">
            <w:pPr>
              <w:pStyle w:val="ColorfulList-Accent11"/>
              <w:spacing w:after="0" w:line="240" w:lineRule="auto"/>
              <w:ind w:left="0"/>
              <w:rPr>
                <w:rFonts w:asciiTheme="minorHAnsi" w:hAnsiTheme="minorHAnsi"/>
                <w:color w:val="000000" w:themeColor="text1"/>
                <w:sz w:val="20"/>
                <w:szCs w:val="20"/>
              </w:rPr>
            </w:pPr>
          </w:p>
        </w:tc>
      </w:tr>
      <w:tr w:rsidR="00EB660F" w:rsidRPr="00EB660F" w14:paraId="2EA31FB7" w14:textId="77777777" w:rsidTr="00701452">
        <w:trPr>
          <w:trHeight w:val="288"/>
        </w:trPr>
        <w:tc>
          <w:tcPr>
            <w:tcW w:w="2359" w:type="dxa"/>
            <w:vMerge/>
            <w:tcMar>
              <w:top w:w="0" w:type="dxa"/>
              <w:left w:w="108" w:type="dxa"/>
              <w:bottom w:w="0" w:type="dxa"/>
              <w:right w:w="108" w:type="dxa"/>
            </w:tcMar>
          </w:tcPr>
          <w:p w14:paraId="739E4202" w14:textId="77777777" w:rsidR="00701452" w:rsidRPr="00EB660F" w:rsidRDefault="00701452" w:rsidP="00BD195E">
            <w:pPr>
              <w:spacing w:after="0"/>
              <w:rPr>
                <w:b/>
                <w:bCs/>
                <w:color w:val="000000" w:themeColor="text1"/>
                <w:sz w:val="20"/>
                <w:szCs w:val="20"/>
              </w:rPr>
            </w:pPr>
          </w:p>
        </w:tc>
        <w:tc>
          <w:tcPr>
            <w:tcW w:w="3556" w:type="dxa"/>
            <w:gridSpan w:val="2"/>
            <w:tcMar>
              <w:top w:w="0" w:type="dxa"/>
              <w:left w:w="108" w:type="dxa"/>
              <w:bottom w:w="0" w:type="dxa"/>
              <w:right w:w="108" w:type="dxa"/>
            </w:tcMar>
          </w:tcPr>
          <w:p w14:paraId="195742A9" w14:textId="77777777" w:rsidR="00701452" w:rsidRPr="00EB660F" w:rsidRDefault="00701452" w:rsidP="00BD195E">
            <w:pPr>
              <w:pStyle w:val="ColorfulList-Accent11"/>
              <w:spacing w:after="0" w:line="240" w:lineRule="auto"/>
              <w:ind w:left="0"/>
              <w:rPr>
                <w:rFonts w:asciiTheme="minorHAnsi" w:hAnsiTheme="minorHAnsi"/>
                <w:color w:val="000000" w:themeColor="text1"/>
                <w:sz w:val="20"/>
                <w:szCs w:val="20"/>
              </w:rPr>
            </w:pPr>
            <w:r w:rsidRPr="00EB660F">
              <w:rPr>
                <w:rFonts w:asciiTheme="minorHAnsi" w:hAnsiTheme="minorHAnsi"/>
                <w:color w:val="000000" w:themeColor="text1"/>
                <w:sz w:val="20"/>
                <w:szCs w:val="20"/>
              </w:rPr>
              <w:t xml:space="preserve">Entity </w:t>
            </w:r>
            <w:r w:rsidRPr="00EB660F">
              <w:rPr>
                <w:rFonts w:asciiTheme="minorHAnsi" w:hAnsiTheme="minorHAnsi"/>
                <w:i/>
                <w:color w:val="000000" w:themeColor="text1"/>
                <w:sz w:val="20"/>
                <w:szCs w:val="20"/>
              </w:rPr>
              <w:t>(i.e., FPOS, ZUG)</w:t>
            </w:r>
          </w:p>
        </w:tc>
        <w:tc>
          <w:tcPr>
            <w:tcW w:w="3661" w:type="dxa"/>
          </w:tcPr>
          <w:p w14:paraId="43A511A8" w14:textId="77777777" w:rsidR="00701452" w:rsidRPr="00EB660F" w:rsidRDefault="00701452" w:rsidP="00BD195E">
            <w:pPr>
              <w:pStyle w:val="ColorfulList-Accent11"/>
              <w:spacing w:after="0" w:line="240" w:lineRule="auto"/>
              <w:ind w:left="0"/>
              <w:rPr>
                <w:rFonts w:asciiTheme="minorHAnsi" w:hAnsiTheme="minorHAnsi"/>
                <w:color w:val="000000" w:themeColor="text1"/>
                <w:sz w:val="20"/>
                <w:szCs w:val="20"/>
              </w:rPr>
            </w:pPr>
          </w:p>
        </w:tc>
      </w:tr>
      <w:tr w:rsidR="00EB660F" w:rsidRPr="00EB660F" w14:paraId="39CE127F" w14:textId="77777777" w:rsidTr="00701452">
        <w:trPr>
          <w:trHeight w:val="287"/>
        </w:trPr>
        <w:tc>
          <w:tcPr>
            <w:tcW w:w="2359" w:type="dxa"/>
            <w:vMerge/>
            <w:tcMar>
              <w:top w:w="0" w:type="dxa"/>
              <w:left w:w="108" w:type="dxa"/>
              <w:bottom w:w="0" w:type="dxa"/>
              <w:right w:w="108" w:type="dxa"/>
            </w:tcMar>
          </w:tcPr>
          <w:p w14:paraId="43048679" w14:textId="77777777" w:rsidR="00701452" w:rsidRPr="00EB660F" w:rsidRDefault="00701452" w:rsidP="00BD195E">
            <w:pPr>
              <w:spacing w:after="0"/>
              <w:rPr>
                <w:b/>
                <w:bCs/>
                <w:color w:val="000000" w:themeColor="text1"/>
                <w:sz w:val="20"/>
                <w:szCs w:val="20"/>
              </w:rPr>
            </w:pPr>
          </w:p>
        </w:tc>
        <w:tc>
          <w:tcPr>
            <w:tcW w:w="3556" w:type="dxa"/>
            <w:gridSpan w:val="2"/>
            <w:tcMar>
              <w:top w:w="0" w:type="dxa"/>
              <w:left w:w="108" w:type="dxa"/>
              <w:bottom w:w="0" w:type="dxa"/>
              <w:right w:w="108" w:type="dxa"/>
            </w:tcMar>
          </w:tcPr>
          <w:p w14:paraId="1FA7A561" w14:textId="77777777" w:rsidR="00701452" w:rsidRPr="00EB660F" w:rsidRDefault="00701452" w:rsidP="00BD195E">
            <w:pPr>
              <w:pStyle w:val="ColorfulList-Accent11"/>
              <w:spacing w:after="0" w:line="240" w:lineRule="auto"/>
              <w:ind w:left="0"/>
              <w:rPr>
                <w:rFonts w:asciiTheme="minorHAnsi" w:hAnsiTheme="minorHAnsi"/>
                <w:color w:val="000000" w:themeColor="text1"/>
                <w:sz w:val="20"/>
                <w:szCs w:val="20"/>
              </w:rPr>
            </w:pPr>
            <w:r w:rsidRPr="00EB660F">
              <w:rPr>
                <w:rFonts w:asciiTheme="minorHAnsi" w:hAnsiTheme="minorHAnsi"/>
                <w:color w:val="000000" w:themeColor="text1"/>
                <w:sz w:val="20"/>
                <w:szCs w:val="20"/>
              </w:rPr>
              <w:t xml:space="preserve">Fund Class </w:t>
            </w:r>
            <w:r w:rsidRPr="00EB660F">
              <w:rPr>
                <w:rFonts w:asciiTheme="minorHAnsi" w:hAnsiTheme="minorHAnsi"/>
                <w:i/>
                <w:color w:val="000000" w:themeColor="text1"/>
                <w:sz w:val="20"/>
                <w:szCs w:val="20"/>
              </w:rPr>
              <w:t>(i.e., Lobbying/Non-Lobbying)</w:t>
            </w:r>
          </w:p>
        </w:tc>
        <w:tc>
          <w:tcPr>
            <w:tcW w:w="3661" w:type="dxa"/>
          </w:tcPr>
          <w:p w14:paraId="7D803068" w14:textId="77777777" w:rsidR="00701452" w:rsidRPr="00EB660F" w:rsidRDefault="00701452" w:rsidP="00BD195E">
            <w:pPr>
              <w:pStyle w:val="ColorfulList-Accent11"/>
              <w:spacing w:after="0" w:line="240" w:lineRule="auto"/>
              <w:ind w:left="0"/>
              <w:rPr>
                <w:rFonts w:asciiTheme="minorHAnsi" w:hAnsiTheme="minorHAnsi"/>
                <w:color w:val="000000" w:themeColor="text1"/>
                <w:sz w:val="20"/>
                <w:szCs w:val="20"/>
              </w:rPr>
            </w:pPr>
          </w:p>
        </w:tc>
      </w:tr>
      <w:tr w:rsidR="00701452" w:rsidRPr="00EB660F" w14:paraId="6CF4B475" w14:textId="77777777" w:rsidTr="00701452">
        <w:trPr>
          <w:trHeight w:val="288"/>
        </w:trPr>
        <w:tc>
          <w:tcPr>
            <w:tcW w:w="2359" w:type="dxa"/>
            <w:vMerge/>
            <w:tcMar>
              <w:top w:w="0" w:type="dxa"/>
              <w:left w:w="108" w:type="dxa"/>
              <w:bottom w:w="0" w:type="dxa"/>
              <w:right w:w="108" w:type="dxa"/>
            </w:tcMar>
          </w:tcPr>
          <w:p w14:paraId="31A870C6" w14:textId="77777777" w:rsidR="00701452" w:rsidRPr="00EB660F" w:rsidRDefault="00701452" w:rsidP="00BD195E">
            <w:pPr>
              <w:spacing w:after="0"/>
              <w:rPr>
                <w:b/>
                <w:bCs/>
                <w:color w:val="000000" w:themeColor="text1"/>
                <w:sz w:val="20"/>
                <w:szCs w:val="20"/>
              </w:rPr>
            </w:pPr>
          </w:p>
        </w:tc>
        <w:tc>
          <w:tcPr>
            <w:tcW w:w="3556" w:type="dxa"/>
            <w:gridSpan w:val="2"/>
            <w:tcMar>
              <w:top w:w="0" w:type="dxa"/>
              <w:left w:w="108" w:type="dxa"/>
              <w:bottom w:w="0" w:type="dxa"/>
              <w:right w:w="108" w:type="dxa"/>
            </w:tcMar>
          </w:tcPr>
          <w:p w14:paraId="25FB1F38" w14:textId="77777777" w:rsidR="00701452" w:rsidRPr="00EB660F" w:rsidRDefault="00701452" w:rsidP="00BD195E">
            <w:pPr>
              <w:pStyle w:val="ColorfulList-Accent11"/>
              <w:spacing w:after="0" w:line="240" w:lineRule="auto"/>
              <w:ind w:left="0"/>
              <w:rPr>
                <w:rFonts w:asciiTheme="minorHAnsi" w:hAnsiTheme="minorHAnsi"/>
                <w:color w:val="000000" w:themeColor="text1"/>
                <w:sz w:val="20"/>
                <w:szCs w:val="20"/>
              </w:rPr>
            </w:pPr>
            <w:r w:rsidRPr="00EB660F">
              <w:rPr>
                <w:rFonts w:asciiTheme="minorHAnsi" w:hAnsiTheme="minorHAnsi"/>
                <w:color w:val="000000" w:themeColor="text1"/>
                <w:sz w:val="20"/>
                <w:szCs w:val="20"/>
              </w:rPr>
              <w:t xml:space="preserve">Geography </w:t>
            </w:r>
            <w:r w:rsidRPr="00EB660F">
              <w:rPr>
                <w:rFonts w:asciiTheme="minorHAnsi" w:hAnsiTheme="minorHAnsi"/>
                <w:i/>
                <w:color w:val="000000" w:themeColor="text1"/>
                <w:sz w:val="20"/>
                <w:szCs w:val="20"/>
              </w:rPr>
              <w:t>(of benefit)</w:t>
            </w:r>
          </w:p>
        </w:tc>
        <w:tc>
          <w:tcPr>
            <w:tcW w:w="3661" w:type="dxa"/>
          </w:tcPr>
          <w:p w14:paraId="2DE95F2B" w14:textId="77777777" w:rsidR="00701452" w:rsidRPr="00EB660F" w:rsidRDefault="00701452" w:rsidP="00BD195E">
            <w:pPr>
              <w:pStyle w:val="ColorfulList-Accent11"/>
              <w:spacing w:after="0" w:line="240" w:lineRule="auto"/>
              <w:ind w:left="0"/>
              <w:rPr>
                <w:rFonts w:asciiTheme="minorHAnsi" w:hAnsiTheme="minorHAnsi"/>
                <w:color w:val="000000" w:themeColor="text1"/>
                <w:sz w:val="20"/>
                <w:szCs w:val="20"/>
              </w:rPr>
            </w:pPr>
          </w:p>
        </w:tc>
      </w:tr>
    </w:tbl>
    <w:p w14:paraId="02BBE36B" w14:textId="77777777" w:rsidR="00701452" w:rsidRPr="00EB660F" w:rsidRDefault="00701452" w:rsidP="00DA5D66">
      <w:pPr>
        <w:rPr>
          <w:color w:val="000000" w:themeColor="text1"/>
          <w:sz w:val="20"/>
          <w:szCs w:val="20"/>
        </w:rPr>
      </w:pPr>
    </w:p>
    <w:sectPr w:rsidR="00701452" w:rsidRPr="00EB660F" w:rsidSect="00DA5D66">
      <w:headerReference w:type="default" r:id="rId11"/>
      <w:footerReference w:type="default" r:id="rId12"/>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E02CE8" w14:textId="77777777" w:rsidR="002154FD" w:rsidRDefault="002154FD" w:rsidP="006E72C5">
      <w:pPr>
        <w:spacing w:after="0" w:line="240" w:lineRule="auto"/>
      </w:pPr>
      <w:r>
        <w:separator/>
      </w:r>
    </w:p>
  </w:endnote>
  <w:endnote w:type="continuationSeparator" w:id="0">
    <w:p w14:paraId="79B01E36" w14:textId="77777777" w:rsidR="002154FD" w:rsidRDefault="002154FD" w:rsidP="006E72C5">
      <w:pPr>
        <w:spacing w:after="0" w:line="240" w:lineRule="auto"/>
      </w:pPr>
      <w:r>
        <w:continuationSeparator/>
      </w:r>
    </w:p>
  </w:endnote>
  <w:endnote w:type="continuationNotice" w:id="1">
    <w:p w14:paraId="081762BF" w14:textId="77777777" w:rsidR="002154FD" w:rsidRDefault="002154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03D89" w14:textId="77777777" w:rsidR="006E72C5" w:rsidRPr="006E72C5" w:rsidRDefault="006E72C5">
    <w:pPr>
      <w:pStyle w:val="Footer"/>
      <w:rPr>
        <w:sz w:val="16"/>
      </w:rPr>
    </w:pPr>
    <w:r w:rsidRPr="006E72C5">
      <w:rPr>
        <w:sz w:val="16"/>
      </w:rPr>
      <w:t>General and President</w:t>
    </w:r>
    <w:r>
      <w:rPr>
        <w:sz w:val="16"/>
      </w:rPr>
      <w:t xml:space="preserve">’s &amp; </w:t>
    </w:r>
    <w:r w:rsidRPr="006E72C5">
      <w:rPr>
        <w:sz w:val="16"/>
      </w:rPr>
      <w:t>Chairman’</w:t>
    </w:r>
    <w:r>
      <w:rPr>
        <w:sz w:val="16"/>
      </w:rPr>
      <w:t>s Reserve</w:t>
    </w:r>
    <w:r w:rsidR="00BA405F">
      <w:rPr>
        <w:sz w:val="16"/>
      </w:rPr>
      <w:t xml:space="preserve"> Fund</w:t>
    </w:r>
    <w:r>
      <w:rPr>
        <w:sz w:val="16"/>
      </w:rPr>
      <w:t>s</w:t>
    </w:r>
    <w:r w:rsidR="00BA405F">
      <w:rPr>
        <w:sz w:val="16"/>
      </w:rPr>
      <w:t xml:space="preserve"> Request Template</w:t>
    </w:r>
    <w:r>
      <w:rPr>
        <w:sz w:val="16"/>
      </w:rPr>
      <w:t>_</w:t>
    </w:r>
    <w:r w:rsidR="00AC7D58">
      <w:rPr>
        <w:sz w:val="16"/>
      </w:rPr>
      <w:t>1March</w:t>
    </w:r>
    <w:r w:rsidRPr="006E72C5">
      <w:rPr>
        <w:sz w:val="16"/>
      </w:rPr>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F32172" w14:textId="77777777" w:rsidR="002154FD" w:rsidRDefault="002154FD" w:rsidP="006E72C5">
      <w:pPr>
        <w:spacing w:after="0" w:line="240" w:lineRule="auto"/>
      </w:pPr>
      <w:r>
        <w:separator/>
      </w:r>
    </w:p>
  </w:footnote>
  <w:footnote w:type="continuationSeparator" w:id="0">
    <w:p w14:paraId="5E3FD2FD" w14:textId="77777777" w:rsidR="002154FD" w:rsidRDefault="002154FD" w:rsidP="006E72C5">
      <w:pPr>
        <w:spacing w:after="0" w:line="240" w:lineRule="auto"/>
      </w:pPr>
      <w:r>
        <w:continuationSeparator/>
      </w:r>
    </w:p>
  </w:footnote>
  <w:footnote w:type="continuationNotice" w:id="1">
    <w:p w14:paraId="5181729F" w14:textId="77777777" w:rsidR="002154FD" w:rsidRDefault="002154F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8C9F2" w14:textId="77777777" w:rsidR="003F6CAA" w:rsidRDefault="003F6C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5148A"/>
    <w:multiLevelType w:val="hybridMultilevel"/>
    <w:tmpl w:val="58B4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AB5283B"/>
    <w:multiLevelType w:val="hybridMultilevel"/>
    <w:tmpl w:val="2FB46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D9B5514"/>
    <w:multiLevelType w:val="hybridMultilevel"/>
    <w:tmpl w:val="A1E0BF68"/>
    <w:lvl w:ilvl="0" w:tplc="26004BA6">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6C148D9"/>
    <w:multiLevelType w:val="hybridMultilevel"/>
    <w:tmpl w:val="0276C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5AF0AF7"/>
    <w:multiLevelType w:val="hybridMultilevel"/>
    <w:tmpl w:val="975A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68F130CE"/>
    <w:multiLevelType w:val="hybridMultilevel"/>
    <w:tmpl w:val="F81CCE0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1"/>
  </w:num>
  <w:num w:numId="6">
    <w:abstractNumId w:val="0"/>
  </w:num>
  <w:num w:numId="7">
    <w:abstractNumId w:val="3"/>
  </w:num>
  <w:num w:numId="8">
    <w:abstractNumId w:val="4"/>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45F"/>
    <w:rsid w:val="00053322"/>
    <w:rsid w:val="000E30AC"/>
    <w:rsid w:val="000F10A2"/>
    <w:rsid w:val="001035D5"/>
    <w:rsid w:val="001310BB"/>
    <w:rsid w:val="00177042"/>
    <w:rsid w:val="00196F1C"/>
    <w:rsid w:val="002154FD"/>
    <w:rsid w:val="0025609C"/>
    <w:rsid w:val="00277B43"/>
    <w:rsid w:val="002A4514"/>
    <w:rsid w:val="003025E2"/>
    <w:rsid w:val="00320B99"/>
    <w:rsid w:val="00334CD3"/>
    <w:rsid w:val="00385BFE"/>
    <w:rsid w:val="0039421E"/>
    <w:rsid w:val="003C3EB8"/>
    <w:rsid w:val="003E424D"/>
    <w:rsid w:val="003F6CAA"/>
    <w:rsid w:val="00411B69"/>
    <w:rsid w:val="0042545F"/>
    <w:rsid w:val="00454E0D"/>
    <w:rsid w:val="004A1863"/>
    <w:rsid w:val="00535E3E"/>
    <w:rsid w:val="006512F6"/>
    <w:rsid w:val="00657820"/>
    <w:rsid w:val="0066099E"/>
    <w:rsid w:val="006E3392"/>
    <w:rsid w:val="006E72C5"/>
    <w:rsid w:val="00701452"/>
    <w:rsid w:val="00704BFB"/>
    <w:rsid w:val="00730865"/>
    <w:rsid w:val="00730A31"/>
    <w:rsid w:val="00762C16"/>
    <w:rsid w:val="007858FB"/>
    <w:rsid w:val="0078699B"/>
    <w:rsid w:val="00851CC3"/>
    <w:rsid w:val="008B15AE"/>
    <w:rsid w:val="008B5CDE"/>
    <w:rsid w:val="008E1081"/>
    <w:rsid w:val="008F4319"/>
    <w:rsid w:val="009A61A4"/>
    <w:rsid w:val="009C167A"/>
    <w:rsid w:val="009E2573"/>
    <w:rsid w:val="00A85890"/>
    <w:rsid w:val="00AC7D58"/>
    <w:rsid w:val="00AD6D6B"/>
    <w:rsid w:val="00AF6620"/>
    <w:rsid w:val="00B12552"/>
    <w:rsid w:val="00B55384"/>
    <w:rsid w:val="00B56579"/>
    <w:rsid w:val="00B569C2"/>
    <w:rsid w:val="00B8043E"/>
    <w:rsid w:val="00BA405F"/>
    <w:rsid w:val="00C75EF4"/>
    <w:rsid w:val="00C967F5"/>
    <w:rsid w:val="00C9716F"/>
    <w:rsid w:val="00CE3296"/>
    <w:rsid w:val="00CF2E53"/>
    <w:rsid w:val="00D83311"/>
    <w:rsid w:val="00DA13D2"/>
    <w:rsid w:val="00DA5D66"/>
    <w:rsid w:val="00EA7C56"/>
    <w:rsid w:val="00EB660F"/>
    <w:rsid w:val="00ED2657"/>
    <w:rsid w:val="00ED7EB9"/>
    <w:rsid w:val="00EE5B95"/>
    <w:rsid w:val="00F24B01"/>
    <w:rsid w:val="00F72ADA"/>
    <w:rsid w:val="00F75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DF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5F"/>
    <w:pPr>
      <w:spacing w:after="0" w:line="240" w:lineRule="auto"/>
      <w:ind w:left="720"/>
    </w:pPr>
    <w:rPr>
      <w:rFonts w:ascii="Calibri" w:hAnsi="Calibri" w:cs="Times New Roman"/>
    </w:rPr>
  </w:style>
  <w:style w:type="paragraph" w:customStyle="1" w:styleId="ColorfulList-Accent11">
    <w:name w:val="Colorful List - Accent 11"/>
    <w:basedOn w:val="Normal"/>
    <w:uiPriority w:val="34"/>
    <w:rsid w:val="0042545F"/>
    <w:pPr>
      <w:ind w:left="720"/>
      <w:contextualSpacing/>
    </w:pPr>
    <w:rPr>
      <w:rFonts w:ascii="Calibri" w:hAnsi="Calibri" w:cs="Times New Roman"/>
    </w:rPr>
  </w:style>
  <w:style w:type="character" w:styleId="PlaceholderText">
    <w:name w:val="Placeholder Text"/>
    <w:basedOn w:val="DefaultParagraphFont"/>
    <w:uiPriority w:val="99"/>
    <w:semiHidden/>
    <w:rsid w:val="0078699B"/>
    <w:rPr>
      <w:color w:val="808080"/>
    </w:rPr>
  </w:style>
  <w:style w:type="paragraph" w:styleId="BalloonText">
    <w:name w:val="Balloon Text"/>
    <w:basedOn w:val="Normal"/>
    <w:link w:val="BalloonTextChar"/>
    <w:uiPriority w:val="99"/>
    <w:semiHidden/>
    <w:unhideWhenUsed/>
    <w:rsid w:val="007869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99B"/>
    <w:rPr>
      <w:rFonts w:ascii="Tahoma" w:hAnsi="Tahoma" w:cs="Tahoma"/>
      <w:sz w:val="16"/>
      <w:szCs w:val="16"/>
    </w:rPr>
  </w:style>
  <w:style w:type="character" w:styleId="Hyperlink">
    <w:name w:val="Hyperlink"/>
    <w:basedOn w:val="DefaultParagraphFont"/>
    <w:uiPriority w:val="99"/>
    <w:unhideWhenUsed/>
    <w:rsid w:val="00277B43"/>
    <w:rPr>
      <w:color w:val="0000FF" w:themeColor="hyperlink"/>
      <w:u w:val="single"/>
    </w:rPr>
  </w:style>
  <w:style w:type="paragraph" w:styleId="Header">
    <w:name w:val="header"/>
    <w:basedOn w:val="Normal"/>
    <w:link w:val="HeaderChar"/>
    <w:uiPriority w:val="99"/>
    <w:unhideWhenUsed/>
    <w:rsid w:val="006E72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2C5"/>
  </w:style>
  <w:style w:type="paragraph" w:styleId="Footer">
    <w:name w:val="footer"/>
    <w:basedOn w:val="Normal"/>
    <w:link w:val="FooterChar"/>
    <w:uiPriority w:val="99"/>
    <w:unhideWhenUsed/>
    <w:rsid w:val="006E72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2C5"/>
  </w:style>
  <w:style w:type="character" w:styleId="CommentReference">
    <w:name w:val="annotation reference"/>
    <w:basedOn w:val="DefaultParagraphFont"/>
    <w:uiPriority w:val="99"/>
    <w:semiHidden/>
    <w:unhideWhenUsed/>
    <w:rsid w:val="001035D5"/>
    <w:rPr>
      <w:sz w:val="16"/>
      <w:szCs w:val="16"/>
    </w:rPr>
  </w:style>
  <w:style w:type="paragraph" w:styleId="CommentText">
    <w:name w:val="annotation text"/>
    <w:basedOn w:val="Normal"/>
    <w:link w:val="CommentTextChar"/>
    <w:uiPriority w:val="99"/>
    <w:semiHidden/>
    <w:unhideWhenUsed/>
    <w:rsid w:val="001035D5"/>
    <w:pPr>
      <w:spacing w:line="240" w:lineRule="auto"/>
    </w:pPr>
    <w:rPr>
      <w:sz w:val="20"/>
      <w:szCs w:val="20"/>
    </w:rPr>
  </w:style>
  <w:style w:type="character" w:customStyle="1" w:styleId="CommentTextChar">
    <w:name w:val="Comment Text Char"/>
    <w:basedOn w:val="DefaultParagraphFont"/>
    <w:link w:val="CommentText"/>
    <w:uiPriority w:val="99"/>
    <w:semiHidden/>
    <w:rsid w:val="001035D5"/>
    <w:rPr>
      <w:sz w:val="20"/>
      <w:szCs w:val="20"/>
    </w:rPr>
  </w:style>
  <w:style w:type="paragraph" w:styleId="CommentSubject">
    <w:name w:val="annotation subject"/>
    <w:basedOn w:val="CommentText"/>
    <w:next w:val="CommentText"/>
    <w:link w:val="CommentSubjectChar"/>
    <w:uiPriority w:val="99"/>
    <w:semiHidden/>
    <w:unhideWhenUsed/>
    <w:rsid w:val="001035D5"/>
    <w:rPr>
      <w:b/>
      <w:bCs/>
    </w:rPr>
  </w:style>
  <w:style w:type="character" w:customStyle="1" w:styleId="CommentSubjectChar">
    <w:name w:val="Comment Subject Char"/>
    <w:basedOn w:val="CommentTextChar"/>
    <w:link w:val="CommentSubject"/>
    <w:uiPriority w:val="99"/>
    <w:semiHidden/>
    <w:rsid w:val="001035D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5F"/>
    <w:pPr>
      <w:spacing w:after="0" w:line="240" w:lineRule="auto"/>
      <w:ind w:left="720"/>
    </w:pPr>
    <w:rPr>
      <w:rFonts w:ascii="Calibri" w:hAnsi="Calibri" w:cs="Times New Roman"/>
    </w:rPr>
  </w:style>
  <w:style w:type="paragraph" w:customStyle="1" w:styleId="ColorfulList-Accent11">
    <w:name w:val="Colorful List - Accent 11"/>
    <w:basedOn w:val="Normal"/>
    <w:uiPriority w:val="34"/>
    <w:rsid w:val="0042545F"/>
    <w:pPr>
      <w:ind w:left="720"/>
      <w:contextualSpacing/>
    </w:pPr>
    <w:rPr>
      <w:rFonts w:ascii="Calibri" w:hAnsi="Calibri" w:cs="Times New Roman"/>
    </w:rPr>
  </w:style>
  <w:style w:type="character" w:styleId="PlaceholderText">
    <w:name w:val="Placeholder Text"/>
    <w:basedOn w:val="DefaultParagraphFont"/>
    <w:uiPriority w:val="99"/>
    <w:semiHidden/>
    <w:rsid w:val="0078699B"/>
    <w:rPr>
      <w:color w:val="808080"/>
    </w:rPr>
  </w:style>
  <w:style w:type="paragraph" w:styleId="BalloonText">
    <w:name w:val="Balloon Text"/>
    <w:basedOn w:val="Normal"/>
    <w:link w:val="BalloonTextChar"/>
    <w:uiPriority w:val="99"/>
    <w:semiHidden/>
    <w:unhideWhenUsed/>
    <w:rsid w:val="007869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99B"/>
    <w:rPr>
      <w:rFonts w:ascii="Tahoma" w:hAnsi="Tahoma" w:cs="Tahoma"/>
      <w:sz w:val="16"/>
      <w:szCs w:val="16"/>
    </w:rPr>
  </w:style>
  <w:style w:type="character" w:styleId="Hyperlink">
    <w:name w:val="Hyperlink"/>
    <w:basedOn w:val="DefaultParagraphFont"/>
    <w:uiPriority w:val="99"/>
    <w:unhideWhenUsed/>
    <w:rsid w:val="00277B43"/>
    <w:rPr>
      <w:color w:val="0000FF" w:themeColor="hyperlink"/>
      <w:u w:val="single"/>
    </w:rPr>
  </w:style>
  <w:style w:type="paragraph" w:styleId="Header">
    <w:name w:val="header"/>
    <w:basedOn w:val="Normal"/>
    <w:link w:val="HeaderChar"/>
    <w:uiPriority w:val="99"/>
    <w:unhideWhenUsed/>
    <w:rsid w:val="006E72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2C5"/>
  </w:style>
  <w:style w:type="paragraph" w:styleId="Footer">
    <w:name w:val="footer"/>
    <w:basedOn w:val="Normal"/>
    <w:link w:val="FooterChar"/>
    <w:uiPriority w:val="99"/>
    <w:unhideWhenUsed/>
    <w:rsid w:val="006E72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2C5"/>
  </w:style>
  <w:style w:type="character" w:styleId="CommentReference">
    <w:name w:val="annotation reference"/>
    <w:basedOn w:val="DefaultParagraphFont"/>
    <w:uiPriority w:val="99"/>
    <w:semiHidden/>
    <w:unhideWhenUsed/>
    <w:rsid w:val="001035D5"/>
    <w:rPr>
      <w:sz w:val="16"/>
      <w:szCs w:val="16"/>
    </w:rPr>
  </w:style>
  <w:style w:type="paragraph" w:styleId="CommentText">
    <w:name w:val="annotation text"/>
    <w:basedOn w:val="Normal"/>
    <w:link w:val="CommentTextChar"/>
    <w:uiPriority w:val="99"/>
    <w:semiHidden/>
    <w:unhideWhenUsed/>
    <w:rsid w:val="001035D5"/>
    <w:pPr>
      <w:spacing w:line="240" w:lineRule="auto"/>
    </w:pPr>
    <w:rPr>
      <w:sz w:val="20"/>
      <w:szCs w:val="20"/>
    </w:rPr>
  </w:style>
  <w:style w:type="character" w:customStyle="1" w:styleId="CommentTextChar">
    <w:name w:val="Comment Text Char"/>
    <w:basedOn w:val="DefaultParagraphFont"/>
    <w:link w:val="CommentText"/>
    <w:uiPriority w:val="99"/>
    <w:semiHidden/>
    <w:rsid w:val="001035D5"/>
    <w:rPr>
      <w:sz w:val="20"/>
      <w:szCs w:val="20"/>
    </w:rPr>
  </w:style>
  <w:style w:type="paragraph" w:styleId="CommentSubject">
    <w:name w:val="annotation subject"/>
    <w:basedOn w:val="CommentText"/>
    <w:next w:val="CommentText"/>
    <w:link w:val="CommentSubjectChar"/>
    <w:uiPriority w:val="99"/>
    <w:semiHidden/>
    <w:unhideWhenUsed/>
    <w:rsid w:val="001035D5"/>
    <w:rPr>
      <w:b/>
      <w:bCs/>
    </w:rPr>
  </w:style>
  <w:style w:type="character" w:customStyle="1" w:styleId="CommentSubjectChar">
    <w:name w:val="Comment Subject Char"/>
    <w:basedOn w:val="CommentTextChar"/>
    <w:link w:val="CommentSubject"/>
    <w:uiPriority w:val="99"/>
    <w:semiHidden/>
    <w:rsid w:val="001035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48753">
      <w:bodyDiv w:val="1"/>
      <w:marLeft w:val="0"/>
      <w:marRight w:val="0"/>
      <w:marTop w:val="0"/>
      <w:marBottom w:val="0"/>
      <w:divBdr>
        <w:top w:val="none" w:sz="0" w:space="0" w:color="auto"/>
        <w:left w:val="none" w:sz="0" w:space="0" w:color="auto"/>
        <w:bottom w:val="none" w:sz="0" w:space="0" w:color="auto"/>
        <w:right w:val="none" w:sz="0" w:space="0" w:color="auto"/>
      </w:divBdr>
    </w:div>
    <w:div w:id="546063465">
      <w:bodyDiv w:val="1"/>
      <w:marLeft w:val="0"/>
      <w:marRight w:val="0"/>
      <w:marTop w:val="0"/>
      <w:marBottom w:val="0"/>
      <w:divBdr>
        <w:top w:val="none" w:sz="0" w:space="0" w:color="auto"/>
        <w:left w:val="none" w:sz="0" w:space="0" w:color="auto"/>
        <w:bottom w:val="none" w:sz="0" w:space="0" w:color="auto"/>
        <w:right w:val="none" w:sz="0" w:space="0" w:color="auto"/>
      </w:divBdr>
    </w:div>
    <w:div w:id="571745243">
      <w:bodyDiv w:val="1"/>
      <w:marLeft w:val="0"/>
      <w:marRight w:val="0"/>
      <w:marTop w:val="0"/>
      <w:marBottom w:val="0"/>
      <w:divBdr>
        <w:top w:val="none" w:sz="0" w:space="0" w:color="auto"/>
        <w:left w:val="none" w:sz="0" w:space="0" w:color="auto"/>
        <w:bottom w:val="none" w:sz="0" w:space="0" w:color="auto"/>
        <w:right w:val="none" w:sz="0" w:space="0" w:color="auto"/>
      </w:divBdr>
    </w:div>
    <w:div w:id="756482521">
      <w:bodyDiv w:val="1"/>
      <w:marLeft w:val="0"/>
      <w:marRight w:val="0"/>
      <w:marTop w:val="0"/>
      <w:marBottom w:val="0"/>
      <w:divBdr>
        <w:top w:val="none" w:sz="0" w:space="0" w:color="auto"/>
        <w:left w:val="none" w:sz="0" w:space="0" w:color="auto"/>
        <w:bottom w:val="none" w:sz="0" w:space="0" w:color="auto"/>
        <w:right w:val="none" w:sz="0" w:space="0" w:color="auto"/>
      </w:divBdr>
    </w:div>
    <w:div w:id="1961762551">
      <w:bodyDiv w:val="1"/>
      <w:marLeft w:val="0"/>
      <w:marRight w:val="0"/>
      <w:marTop w:val="0"/>
      <w:marBottom w:val="0"/>
      <w:divBdr>
        <w:top w:val="none" w:sz="0" w:space="0" w:color="auto"/>
        <w:left w:val="none" w:sz="0" w:space="0" w:color="auto"/>
        <w:bottom w:val="none" w:sz="0" w:space="0" w:color="auto"/>
        <w:right w:val="none" w:sz="0" w:space="0" w:color="auto"/>
      </w:divBdr>
    </w:div>
    <w:div w:id="2012490311">
      <w:bodyDiv w:val="1"/>
      <w:marLeft w:val="0"/>
      <w:marRight w:val="0"/>
      <w:marTop w:val="0"/>
      <w:marBottom w:val="0"/>
      <w:divBdr>
        <w:top w:val="none" w:sz="0" w:space="0" w:color="auto"/>
        <w:left w:val="none" w:sz="0" w:space="0" w:color="auto"/>
        <w:bottom w:val="none" w:sz="0" w:space="0" w:color="auto"/>
        <w:right w:val="none" w:sz="0" w:space="0" w:color="auto"/>
      </w:divBdr>
    </w:div>
    <w:div w:id="2074349608">
      <w:bodyDiv w:val="1"/>
      <w:marLeft w:val="0"/>
      <w:marRight w:val="0"/>
      <w:marTop w:val="0"/>
      <w:marBottom w:val="0"/>
      <w:divBdr>
        <w:top w:val="none" w:sz="0" w:space="0" w:color="auto"/>
        <w:left w:val="none" w:sz="0" w:space="0" w:color="auto"/>
        <w:bottom w:val="none" w:sz="0" w:space="0" w:color="auto"/>
        <w:right w:val="none" w:sz="0" w:space="0" w:color="auto"/>
      </w:divBdr>
    </w:div>
    <w:div w:id="214611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karl.soros.org/communities/reserves/files/ii.-policies/rapid-response-as-of-10-november-2014.docx/" TargetMode="External"/><Relationship Id="rId4" Type="http://schemas.microsoft.com/office/2007/relationships/stylesWithEffects" Target="stylesWithEffects.xml"/><Relationship Id="rId9" Type="http://schemas.openxmlformats.org/officeDocument/2006/relationships/hyperlink" Target="https://karl.soros.org/communities/reserves/view.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8EDFF-486F-4269-A55C-BF5BB3351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1160</Words>
  <Characters>6614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Open Society Foundations</Company>
  <LinksUpToDate>false</LinksUpToDate>
  <CharactersWithSpaces>7759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Choong</dc:creator>
  <cp:lastModifiedBy>Victoria Choong</cp:lastModifiedBy>
  <cp:revision>4</cp:revision>
  <cp:lastPrinted>2015-02-17T21:27:00Z</cp:lastPrinted>
  <dcterms:created xsi:type="dcterms:W3CDTF">2015-04-24T21:53:00Z</dcterms:created>
  <dcterms:modified xsi:type="dcterms:W3CDTF">2015-04-29T13:49:00Z</dcterms:modified>
</cp:coreProperties>
</file>