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525"/>
        <w:gridCol w:w="2049"/>
        <w:gridCol w:w="3574"/>
      </w:tblGrid>
      <w:tr w:rsidR="00B17B64" w:rsidTr="0011279D">
        <w:trPr>
          <w:trHeight w:val="35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b/>
                <w:bCs/>
                <w:color w:val="262626"/>
              </w:rPr>
            </w:pPr>
            <w:bookmarkStart w:id="0" w:name="_GoBack"/>
            <w:bookmarkEnd w:id="0"/>
            <w:r w:rsidRPr="003830A8">
              <w:rPr>
                <w:b/>
                <w:bCs/>
                <w:color w:val="262626"/>
              </w:rPr>
              <w:t>Shared Framework Title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4D1392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Fostering a New Era in Global Drug Policy</w:t>
            </w:r>
          </w:p>
        </w:tc>
      </w:tr>
      <w:tr w:rsidR="004D1392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92" w:rsidRPr="003830A8" w:rsidRDefault="004D1392" w:rsidP="0011279D">
            <w:pPr>
              <w:spacing w:after="0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Proposal/Activity Title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92" w:rsidRPr="003830A8" w:rsidRDefault="00023F42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Racial Justice in the UK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Amount Requested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657DA6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$25,000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Detail on Amount Requested (Optional)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</w:tc>
      </w:tr>
      <w:tr w:rsidR="00B17B64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Background (Optional)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  <w:lang w:val="pt-BR"/>
              </w:rPr>
            </w:pPr>
          </w:p>
        </w:tc>
      </w:tr>
      <w:tr w:rsidR="00B17B64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Summary of Plans and Relation to Overall Shared Framework Goals (100 words)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7DA6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>This project will see the facilitation of new and important black voice in the UK drug reform movement.</w:t>
            </w:r>
            <w:r>
              <w:rPr>
                <w:rFonts w:ascii="Calibri" w:hAnsi="Calibri"/>
                <w:color w:val="262626"/>
                <w:sz w:val="20"/>
                <w:szCs w:val="20"/>
              </w:rPr>
              <w:t xml:space="preserve"> It aligns with shared framework goals 1 and 2:</w:t>
            </w:r>
            <w:r>
              <w:t xml:space="preserve"> </w:t>
            </w: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>1. Increase the number of national government and UN champions: Fracture the drug war consensus at the UN by increasing the number of governments willing to publically embrace a more flexible and progressive position, and by bringing other UN entities into the drug policy debates as equals of the UN Office on Drugs and Crime (UNODC).</w:t>
            </w:r>
            <w:r>
              <w:rPr>
                <w:rFonts w:ascii="Calibri" w:hAnsi="Calibri"/>
                <w:color w:val="262626"/>
                <w:sz w:val="20"/>
                <w:szCs w:val="20"/>
              </w:rPr>
              <w:t xml:space="preserve">  </w:t>
            </w: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>2. Broaden civil society support in the reform movement: Sharply expand the range of civil society allies who are shaping their national drug policies and calling for a new international consensus on regulation, decriminalization, and harm reduction.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Activities Proposed (500 words)</w:t>
            </w:r>
          </w:p>
        </w:tc>
        <w:tc>
          <w:tcPr>
            <w:tcW w:w="71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  <w:lang w:val="pt-BR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b/>
                <w:color w:val="262626"/>
                <w:sz w:val="20"/>
                <w:szCs w:val="20"/>
              </w:rPr>
              <w:t>Phase one</w:t>
            </w: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: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Produce a literature a review that pulls together and explores existing studies raising awareness of the disproportionate impact of UK drug policy on black communities in partnership with Release.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b/>
                <w:color w:val="262626"/>
                <w:sz w:val="20"/>
                <w:szCs w:val="20"/>
              </w:rPr>
              <w:t>Phase Two</w:t>
            </w: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>: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Active dissemination of the literature review initial findings through local community events, using social media, focused on raising awareness about the issue on and the need for policy reform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This phase will see the creation of range of social media platforms and virtual network to help promote, events and disseminate the finding of the review.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Deliver the three regional community consultation events that will disseminate information, raise awareness about the debate and develop a response from black and ethnic minority youth.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Explore and identify critical pathways to reform and campaign roles, goal setting and coalition building.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Develop an initial framework for the facilitation of a black youth perspective on drugs policy to be launched at a national conference.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b/>
                <w:color w:val="262626"/>
                <w:sz w:val="20"/>
                <w:szCs w:val="20"/>
              </w:rPr>
              <w:t xml:space="preserve">Phase Three: </w:t>
            </w: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  <w:p w:rsidR="00023F42" w:rsidRPr="00023F42" w:rsidRDefault="00023F42" w:rsidP="00023F42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t xml:space="preserve">Conference launch of research findings, regional consultation and the articulation </w:t>
            </w:r>
            <w:r w:rsidRPr="00023F42">
              <w:rPr>
                <w:rFonts w:ascii="Calibri" w:hAnsi="Calibri"/>
                <w:color w:val="262626"/>
                <w:sz w:val="20"/>
                <w:szCs w:val="20"/>
              </w:rPr>
              <w:lastRenderedPageBreak/>
              <w:t xml:space="preserve">black voices to help inform and shape UN, UK Government and EU drugs policy. </w:t>
            </w:r>
          </w:p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  <w:lang w:val="pt-BR"/>
              </w:rPr>
            </w:pPr>
          </w:p>
        </w:tc>
      </w:tr>
      <w:tr w:rsidR="00B17B64" w:rsidTr="0011279D">
        <w:trPr>
          <w:trHeight w:val="20"/>
        </w:trPr>
        <w:tc>
          <w:tcPr>
            <w:tcW w:w="244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lastRenderedPageBreak/>
              <w:t>Summary for Board Reports (100 words)</w:t>
            </w:r>
          </w:p>
        </w:tc>
        <w:tc>
          <w:tcPr>
            <w:tcW w:w="7148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023F42" w:rsidP="0011279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023F42">
              <w:rPr>
                <w:rFonts w:ascii="Calibri" w:hAnsi="Calibri"/>
                <w:sz w:val="20"/>
                <w:szCs w:val="20"/>
              </w:rPr>
              <w:t>This project will see the facilitation of new and important black voice in the UK d</w:t>
            </w:r>
            <w:r>
              <w:rPr>
                <w:rFonts w:ascii="Calibri" w:hAnsi="Calibri"/>
                <w:sz w:val="20"/>
                <w:szCs w:val="20"/>
              </w:rPr>
              <w:t>rug reform movement through a literature review, community consultation events, and a conference sharing research findings in the UK in order to shape UN, UK Government, and EU drugs policy.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Collaborating Program</w:t>
            </w:r>
            <w:r w:rsidR="004D1392">
              <w:rPr>
                <w:b/>
                <w:bCs/>
                <w:color w:val="262626"/>
              </w:rPr>
              <w:t>(</w:t>
            </w:r>
            <w:r w:rsidRPr="003830A8">
              <w:rPr>
                <w:b/>
                <w:bCs/>
                <w:color w:val="262626"/>
              </w:rPr>
              <w:t>s</w:t>
            </w:r>
            <w:r w:rsidR="004D1392">
              <w:rPr>
                <w:b/>
                <w:bCs/>
                <w:color w:val="262626"/>
              </w:rPr>
              <w:t>)</w:t>
            </w:r>
            <w:r w:rsidRPr="003830A8">
              <w:rPr>
                <w:b/>
                <w:bCs/>
                <w:color w:val="262626"/>
              </w:rPr>
              <w:t xml:space="preserve"> within OSF and essential partners or grantees</w:t>
            </w:r>
          </w:p>
        </w:tc>
        <w:tc>
          <w:tcPr>
            <w:tcW w:w="7148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023F42" w:rsidP="0011279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GDPP</w:t>
            </w:r>
            <w:r w:rsidR="007A43EC">
              <w:rPr>
                <w:rFonts w:ascii="Calibri" w:hAnsi="Calibri"/>
                <w:sz w:val="20"/>
                <w:szCs w:val="20"/>
              </w:rPr>
              <w:t>, OSIFE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Contributions expected from Collaborating Program</w:t>
            </w:r>
            <w:r w:rsidR="004D1392">
              <w:rPr>
                <w:b/>
                <w:bCs/>
                <w:color w:val="262626"/>
              </w:rPr>
              <w:t>(</w:t>
            </w:r>
            <w:r w:rsidRPr="003830A8">
              <w:rPr>
                <w:b/>
                <w:bCs/>
                <w:color w:val="262626"/>
              </w:rPr>
              <w:t>s</w:t>
            </w:r>
            <w:r w:rsidR="004D1392">
              <w:rPr>
                <w:b/>
                <w:bCs/>
                <w:color w:val="262626"/>
              </w:rPr>
              <w:t>)</w:t>
            </w:r>
            <w:r w:rsidRPr="003830A8">
              <w:rPr>
                <w:b/>
                <w:bCs/>
                <w:color w:val="262626"/>
              </w:rPr>
              <w:t xml:space="preserve"> (250 words)</w:t>
            </w:r>
          </w:p>
        </w:tc>
        <w:tc>
          <w:tcPr>
            <w:tcW w:w="7148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023F42" w:rsidP="0011279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Staff engagement and capacity building as necessary with grantee</w:t>
            </w:r>
          </w:p>
        </w:tc>
      </w:tr>
      <w:tr w:rsidR="00B17B64" w:rsidTr="0011279D">
        <w:trPr>
          <w:trHeight w:val="20"/>
        </w:trPr>
        <w:tc>
          <w:tcPr>
            <w:tcW w:w="244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Statement of who within OSF would guide the work</w:t>
            </w:r>
            <w:r w:rsidR="004D1392">
              <w:rPr>
                <w:b/>
                <w:bCs/>
                <w:color w:val="262626"/>
              </w:rPr>
              <w:t xml:space="preserve"> (</w:t>
            </w:r>
            <w:r w:rsidR="004D1392" w:rsidRPr="004D1392">
              <w:rPr>
                <w:b/>
                <w:bCs/>
                <w:color w:val="262626"/>
                <w:u w:val="single"/>
              </w:rPr>
              <w:t>Point of Contact</w:t>
            </w:r>
            <w:r w:rsidR="004D1392">
              <w:rPr>
                <w:b/>
                <w:bCs/>
                <w:color w:val="262626"/>
              </w:rPr>
              <w:t>)</w:t>
            </w:r>
          </w:p>
        </w:tc>
        <w:tc>
          <w:tcPr>
            <w:tcW w:w="7148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023F42" w:rsidP="0011279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Scott Bernstein, GDPP</w:t>
            </w:r>
          </w:p>
        </w:tc>
      </w:tr>
      <w:tr w:rsidR="00B17B64" w:rsidTr="0011279D">
        <w:trPr>
          <w:trHeight w:val="169"/>
        </w:trPr>
        <w:tc>
          <w:tcPr>
            <w:tcW w:w="2448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714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17B64" w:rsidRPr="00AD6D6B" w:rsidTr="00DB46B2">
        <w:trPr>
          <w:trHeight w:val="229"/>
        </w:trPr>
        <w:tc>
          <w:tcPr>
            <w:tcW w:w="2448" w:type="dxa"/>
            <w:vMerge w:val="restart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3830A8">
              <w:rPr>
                <w:b/>
                <w:bCs/>
                <w:color w:val="262626"/>
              </w:rPr>
              <w:t>Approver (Lead)</w:t>
            </w:r>
          </w:p>
          <w:p w:rsidR="00B17B64" w:rsidRPr="003830A8" w:rsidRDefault="00B17B64" w:rsidP="0011279D">
            <w:pPr>
              <w:spacing w:after="0"/>
              <w:rPr>
                <w:bCs/>
                <w:i/>
                <w:color w:val="262626"/>
                <w:sz w:val="16"/>
                <w:szCs w:val="16"/>
              </w:rPr>
            </w:pPr>
            <w:r w:rsidRPr="003830A8">
              <w:rPr>
                <w:bCs/>
                <w:i/>
                <w:color w:val="262626"/>
                <w:sz w:val="16"/>
                <w:szCs w:val="16"/>
              </w:rPr>
              <w:t xml:space="preserve">(See list on </w:t>
            </w:r>
            <w:hyperlink r:id="rId9" w:history="1">
              <w:r w:rsidRPr="003830A8">
                <w:rPr>
                  <w:rStyle w:val="Hyperlink"/>
                  <w:bCs/>
                  <w:i/>
                  <w:sz w:val="16"/>
                  <w:szCs w:val="16"/>
                </w:rPr>
                <w:t>Reserve Funds KARL</w:t>
              </w:r>
            </w:hyperlink>
            <w:r w:rsidRPr="003830A8"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  <w:tc>
          <w:tcPr>
            <w:tcW w:w="1525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3830A8">
              <w:rPr>
                <w:rFonts w:ascii="Calibri" w:hAnsi="Calibri"/>
                <w:color w:val="262626"/>
                <w:sz w:val="20"/>
                <w:szCs w:val="20"/>
              </w:rPr>
              <w:t>Name</w:t>
            </w:r>
          </w:p>
        </w:tc>
        <w:tc>
          <w:tcPr>
            <w:tcW w:w="5623" w:type="dxa"/>
            <w:gridSpan w:val="2"/>
            <w:shd w:val="clear" w:color="auto" w:fill="CCFFCC"/>
          </w:tcPr>
          <w:p w:rsidR="00B17B64" w:rsidRPr="005166D7" w:rsidRDefault="00A1045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 xml:space="preserve"> </w:t>
            </w:r>
            <w:r w:rsidRPr="005166D7">
              <w:rPr>
                <w:rFonts w:ascii="Calibri" w:hAnsi="Calibri"/>
                <w:color w:val="262626"/>
                <w:sz w:val="20"/>
                <w:szCs w:val="20"/>
              </w:rPr>
              <w:t>Leonard Noisette</w:t>
            </w:r>
          </w:p>
        </w:tc>
      </w:tr>
      <w:tr w:rsidR="00B17B64" w:rsidRPr="00AD6D6B" w:rsidTr="00DB46B2">
        <w:trPr>
          <w:trHeight w:val="273"/>
        </w:trPr>
        <w:tc>
          <w:tcPr>
            <w:tcW w:w="2448" w:type="dxa"/>
            <w:vMerge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1525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  <w:r w:rsidRPr="003830A8">
              <w:rPr>
                <w:rFonts w:ascii="Calibri" w:hAnsi="Calibri"/>
                <w:color w:val="262626"/>
                <w:sz w:val="20"/>
                <w:szCs w:val="20"/>
              </w:rPr>
              <w:t>Date Approved</w:t>
            </w:r>
          </w:p>
        </w:tc>
        <w:tc>
          <w:tcPr>
            <w:tcW w:w="5623" w:type="dxa"/>
            <w:gridSpan w:val="2"/>
            <w:shd w:val="clear" w:color="auto" w:fill="CCFFCC"/>
          </w:tcPr>
          <w:p w:rsidR="00B17B64" w:rsidRPr="003830A8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</w:tc>
      </w:tr>
      <w:tr w:rsidR="00B17B64" w:rsidRPr="00AD6D6B" w:rsidTr="0011279D">
        <w:tblPrEx>
          <w:shd w:val="clear" w:color="auto" w:fill="CCFFCC"/>
        </w:tblPrEx>
        <w:trPr>
          <w:trHeight w:val="1241"/>
        </w:trPr>
        <w:tc>
          <w:tcPr>
            <w:tcW w:w="2448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B64" w:rsidRDefault="00B17B64" w:rsidP="0011279D">
            <w:pPr>
              <w:spacing w:after="0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Approver (Lead) Notes / Comments (Optional)</w:t>
            </w:r>
          </w:p>
          <w:p w:rsidR="00B17B64" w:rsidRDefault="00B17B64" w:rsidP="0011279D">
            <w:pPr>
              <w:spacing w:after="0"/>
              <w:rPr>
                <w:rFonts w:ascii="Calibri" w:hAnsi="Calibri"/>
                <w:b/>
                <w:bCs/>
                <w:color w:val="262626"/>
              </w:rPr>
            </w:pPr>
            <w:r w:rsidRPr="00177042">
              <w:rPr>
                <w:bCs/>
                <w:i/>
                <w:color w:val="262626"/>
                <w:sz w:val="16"/>
                <w:szCs w:val="16"/>
              </w:rPr>
              <w:t>(</w:t>
            </w:r>
            <w:r>
              <w:rPr>
                <w:bCs/>
                <w:i/>
                <w:color w:val="262626"/>
                <w:sz w:val="16"/>
                <w:szCs w:val="16"/>
              </w:rPr>
              <w:t xml:space="preserve">To be completed by </w:t>
            </w:r>
            <w:r w:rsidRPr="00B569C2">
              <w:rPr>
                <w:bCs/>
                <w:i/>
                <w:color w:val="262626"/>
                <w:sz w:val="16"/>
                <w:szCs w:val="16"/>
                <w:u w:val="single"/>
              </w:rPr>
              <w:t>a</w:t>
            </w:r>
            <w:r>
              <w:rPr>
                <w:bCs/>
                <w:i/>
                <w:color w:val="262626"/>
                <w:sz w:val="16"/>
                <w:szCs w:val="16"/>
                <w:u w:val="single"/>
              </w:rPr>
              <w:t xml:space="preserve">pprover </w:t>
            </w:r>
            <w:r w:rsidRPr="00B569C2">
              <w:rPr>
                <w:bCs/>
                <w:i/>
                <w:color w:val="262626"/>
                <w:sz w:val="16"/>
                <w:szCs w:val="16"/>
                <w:u w:val="single"/>
              </w:rPr>
              <w:t>only</w:t>
            </w:r>
            <w:r w:rsidRPr="00177042"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  <w:tc>
          <w:tcPr>
            <w:tcW w:w="7148" w:type="dxa"/>
            <w:gridSpan w:val="3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spacing w:after="0"/>
              <w:rPr>
                <w:rFonts w:ascii="Calibri" w:hAnsi="Calibri"/>
                <w:color w:val="262626"/>
                <w:sz w:val="20"/>
                <w:szCs w:val="20"/>
              </w:rPr>
            </w:pPr>
          </w:p>
        </w:tc>
      </w:tr>
      <w:tr w:rsidR="00B17B64" w:rsidRPr="00AD6D6B" w:rsidTr="0011279D">
        <w:trPr>
          <w:trHeight w:val="511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Default="00B17B64" w:rsidP="0011279D">
            <w:pPr>
              <w:spacing w:after="0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Urgency level for grant approval &amp; payments</w:t>
            </w: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64" w:rsidRPr="00AD6D6B" w:rsidRDefault="00C5138C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1961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B6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B17B64">
              <w:rPr>
                <w:sz w:val="20"/>
                <w:szCs w:val="20"/>
              </w:rPr>
              <w:t xml:space="preserve"> </w:t>
            </w:r>
            <w:r w:rsidR="00B17B64" w:rsidRPr="00411B69">
              <w:rPr>
                <w:b/>
                <w:sz w:val="20"/>
                <w:szCs w:val="20"/>
                <w:u w:val="single"/>
              </w:rPr>
              <w:t>Not</w:t>
            </w:r>
            <w:r w:rsidR="00B17B64">
              <w:rPr>
                <w:sz w:val="20"/>
                <w:szCs w:val="20"/>
              </w:rPr>
              <w:t xml:space="preserve"> Rapid Response </w:t>
            </w:r>
          </w:p>
        </w:tc>
        <w:tc>
          <w:tcPr>
            <w:tcW w:w="3574" w:type="dxa"/>
            <w:vAlign w:val="center"/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544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11B69">
              <w:rPr>
                <w:sz w:val="20"/>
                <w:szCs w:val="20"/>
              </w:rPr>
              <w:t>Rapid Response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262626"/>
                <w:sz w:val="16"/>
                <w:szCs w:val="16"/>
              </w:rPr>
              <w:t xml:space="preserve">(See procedure on </w:t>
            </w:r>
            <w:hyperlink r:id="rId10" w:history="1">
              <w:r w:rsidRPr="00411B69">
                <w:rPr>
                  <w:rStyle w:val="Hyperlink"/>
                  <w:bCs/>
                  <w:i/>
                  <w:sz w:val="16"/>
                  <w:szCs w:val="16"/>
                </w:rPr>
                <w:t>KARL</w:t>
              </w:r>
            </w:hyperlink>
            <w:r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</w:tr>
      <w:tr w:rsidR="00B17B64" w:rsidRPr="00AD6D6B" w:rsidTr="0011279D">
        <w:trPr>
          <w:trHeight w:val="287"/>
        </w:trPr>
        <w:tc>
          <w:tcPr>
            <w:tcW w:w="24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6512F6">
              <w:rPr>
                <w:b/>
                <w:bCs/>
                <w:color w:val="262626"/>
              </w:rPr>
              <w:t xml:space="preserve">If approved, </w:t>
            </w:r>
            <w:r>
              <w:rPr>
                <w:b/>
                <w:bCs/>
                <w:color w:val="262626"/>
              </w:rPr>
              <w:t>where</w:t>
            </w:r>
            <w:r w:rsidRPr="006512F6">
              <w:rPr>
                <w:b/>
                <w:bCs/>
                <w:color w:val="262626"/>
              </w:rPr>
              <w:t xml:space="preserve"> </w:t>
            </w:r>
            <w:r>
              <w:rPr>
                <w:b/>
                <w:bCs/>
                <w:color w:val="262626"/>
              </w:rPr>
              <w:t xml:space="preserve">to allocate the </w:t>
            </w:r>
            <w:r w:rsidRPr="006512F6">
              <w:rPr>
                <w:b/>
                <w:bCs/>
                <w:color w:val="262626"/>
              </w:rPr>
              <w:t>budget?</w:t>
            </w:r>
            <w:r>
              <w:rPr>
                <w:b/>
                <w:bCs/>
                <w:color w:val="262626"/>
              </w:rPr>
              <w:t xml:space="preserve"> </w:t>
            </w:r>
          </w:p>
          <w:p w:rsidR="00B17B64" w:rsidRPr="006512F6" w:rsidRDefault="00B17B64" w:rsidP="0011279D">
            <w:pPr>
              <w:spacing w:after="0"/>
              <w:rPr>
                <w:b/>
                <w:bCs/>
                <w:color w:val="262626"/>
              </w:rPr>
            </w:pPr>
            <w:r w:rsidRPr="00177042">
              <w:rPr>
                <w:bCs/>
                <w:i/>
                <w:color w:val="262626"/>
                <w:sz w:val="16"/>
                <w:szCs w:val="16"/>
              </w:rPr>
              <w:t>(If the budget is split between multiple programs, please copy/paste this section as needed.)</w:t>
            </w: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Amount</w:t>
            </w:r>
          </w:p>
        </w:tc>
        <w:tc>
          <w:tcPr>
            <w:tcW w:w="3574" w:type="dxa"/>
          </w:tcPr>
          <w:p w:rsidR="00B17B64" w:rsidRPr="00AD6D6B" w:rsidRDefault="00657DA6" w:rsidP="007A43EC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A43EC">
              <w:rPr>
                <w:sz w:val="20"/>
                <w:szCs w:val="20"/>
              </w:rPr>
              <w:t>12,500</w:t>
            </w:r>
          </w:p>
        </w:tc>
      </w:tr>
      <w:tr w:rsidR="00B17B64" w:rsidRPr="00AD6D6B" w:rsidTr="0011279D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12F6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Category of Work</w:t>
            </w:r>
          </w:p>
        </w:tc>
        <w:tc>
          <w:tcPr>
            <w:tcW w:w="3574" w:type="dxa"/>
          </w:tcPr>
          <w:p w:rsidR="00B17B64" w:rsidRPr="00A10454" w:rsidRDefault="00A10454" w:rsidP="0011279D">
            <w:pPr>
              <w:pStyle w:val="ColorfulList-Accent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A10454">
              <w:rPr>
                <w:b/>
                <w:sz w:val="20"/>
                <w:szCs w:val="20"/>
              </w:rPr>
              <w:t>SFS006</w:t>
            </w:r>
          </w:p>
        </w:tc>
      </w:tr>
      <w:tr w:rsidR="00B17B64" w:rsidRPr="00AD6D6B" w:rsidTr="0011279D">
        <w:trPr>
          <w:trHeight w:val="287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12F6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Division/Program Code</w:t>
            </w:r>
          </w:p>
        </w:tc>
        <w:tc>
          <w:tcPr>
            <w:tcW w:w="3574" w:type="dxa"/>
          </w:tcPr>
          <w:p w:rsidR="00B17B64" w:rsidRPr="00AD6D6B" w:rsidRDefault="00023F42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GDP Program</w:t>
            </w:r>
          </w:p>
        </w:tc>
      </w:tr>
      <w:tr w:rsidR="00B17B64" w:rsidRPr="00657DA6" w:rsidTr="0011279D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12F6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7DA6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  <w:lang w:val="pt-BR"/>
              </w:rPr>
            </w:pPr>
            <w:r w:rsidRPr="00657DA6">
              <w:rPr>
                <w:sz w:val="20"/>
                <w:szCs w:val="20"/>
                <w:lang w:val="pt-BR"/>
              </w:rPr>
              <w:t xml:space="preserve">Entity </w:t>
            </w:r>
            <w:r w:rsidRPr="00657DA6">
              <w:rPr>
                <w:i/>
                <w:sz w:val="20"/>
                <w:szCs w:val="20"/>
                <w:lang w:val="pt-BR"/>
              </w:rPr>
              <w:t>(i.e., FPOS, ZUG)</w:t>
            </w:r>
          </w:p>
        </w:tc>
        <w:tc>
          <w:tcPr>
            <w:tcW w:w="3574" w:type="dxa"/>
          </w:tcPr>
          <w:p w:rsidR="00B17B64" w:rsidRPr="00657DA6" w:rsidRDefault="00023F42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FPOS</w:t>
            </w:r>
          </w:p>
        </w:tc>
      </w:tr>
      <w:tr w:rsidR="00B17B64" w:rsidRPr="00AD6D6B" w:rsidTr="0011279D">
        <w:trPr>
          <w:trHeight w:val="287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7DA6" w:rsidRDefault="00B17B64" w:rsidP="0011279D">
            <w:pPr>
              <w:spacing w:after="0"/>
              <w:rPr>
                <w:b/>
                <w:bCs/>
                <w:color w:val="262626"/>
                <w:lang w:val="pt-BR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Fund Class </w:t>
            </w:r>
            <w:r w:rsidRPr="00AD6D6B">
              <w:rPr>
                <w:i/>
                <w:sz w:val="20"/>
                <w:szCs w:val="20"/>
              </w:rPr>
              <w:t>(i.e., Lobbying/Non-Lobbying)</w:t>
            </w:r>
          </w:p>
        </w:tc>
        <w:tc>
          <w:tcPr>
            <w:tcW w:w="3574" w:type="dxa"/>
          </w:tcPr>
          <w:p w:rsidR="00B17B64" w:rsidRPr="00AD6D6B" w:rsidRDefault="00023F42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Non-lobbying</w:t>
            </w:r>
          </w:p>
        </w:tc>
      </w:tr>
      <w:tr w:rsidR="00B17B64" w:rsidRPr="00AD6D6B" w:rsidTr="0011279D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6512F6" w:rsidRDefault="00B17B64" w:rsidP="0011279D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64" w:rsidRPr="00AD6D6B" w:rsidRDefault="00B17B64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Geography </w:t>
            </w:r>
            <w:r w:rsidRPr="00AD6D6B">
              <w:rPr>
                <w:i/>
                <w:sz w:val="20"/>
                <w:szCs w:val="20"/>
              </w:rPr>
              <w:t>(of benefit)</w:t>
            </w:r>
          </w:p>
        </w:tc>
        <w:tc>
          <w:tcPr>
            <w:tcW w:w="3574" w:type="dxa"/>
          </w:tcPr>
          <w:p w:rsidR="00B17B64" w:rsidRPr="00AD6D6B" w:rsidRDefault="00023F42" w:rsidP="0011279D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</w:tr>
      <w:tr w:rsidR="007A43EC" w:rsidRPr="00AD6D6B" w:rsidTr="004D2C71">
        <w:trPr>
          <w:trHeight w:val="287"/>
        </w:trPr>
        <w:tc>
          <w:tcPr>
            <w:tcW w:w="24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Default="007A43EC" w:rsidP="004D2C71">
            <w:pPr>
              <w:spacing w:after="0"/>
              <w:rPr>
                <w:b/>
                <w:bCs/>
                <w:color w:val="262626"/>
              </w:rPr>
            </w:pPr>
            <w:r w:rsidRPr="006512F6">
              <w:rPr>
                <w:b/>
                <w:bCs/>
                <w:color w:val="262626"/>
              </w:rPr>
              <w:t xml:space="preserve">If approved, </w:t>
            </w:r>
            <w:r>
              <w:rPr>
                <w:b/>
                <w:bCs/>
                <w:color w:val="262626"/>
              </w:rPr>
              <w:t>where</w:t>
            </w:r>
            <w:r w:rsidRPr="006512F6">
              <w:rPr>
                <w:b/>
                <w:bCs/>
                <w:color w:val="262626"/>
              </w:rPr>
              <w:t xml:space="preserve"> </w:t>
            </w:r>
            <w:r>
              <w:rPr>
                <w:b/>
                <w:bCs/>
                <w:color w:val="262626"/>
              </w:rPr>
              <w:t xml:space="preserve">to allocate the </w:t>
            </w:r>
            <w:r w:rsidRPr="006512F6">
              <w:rPr>
                <w:b/>
                <w:bCs/>
                <w:color w:val="262626"/>
              </w:rPr>
              <w:t>budget?</w:t>
            </w:r>
            <w:r>
              <w:rPr>
                <w:b/>
                <w:bCs/>
                <w:color w:val="262626"/>
              </w:rPr>
              <w:t xml:space="preserve"> </w:t>
            </w:r>
          </w:p>
          <w:p w:rsidR="007A43EC" w:rsidRPr="006512F6" w:rsidRDefault="007A43EC" w:rsidP="004D2C71">
            <w:pPr>
              <w:spacing w:after="0"/>
              <w:rPr>
                <w:b/>
                <w:bCs/>
                <w:color w:val="262626"/>
              </w:rPr>
            </w:pPr>
            <w:r w:rsidRPr="00177042">
              <w:rPr>
                <w:bCs/>
                <w:i/>
                <w:color w:val="262626"/>
                <w:sz w:val="16"/>
                <w:szCs w:val="16"/>
              </w:rPr>
              <w:t>(If the budget is split between multiple programs, please copy/paste this section as needed.)</w:t>
            </w: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Amount</w:t>
            </w:r>
          </w:p>
        </w:tc>
        <w:tc>
          <w:tcPr>
            <w:tcW w:w="3574" w:type="dxa"/>
          </w:tcPr>
          <w:p w:rsidR="007A43EC" w:rsidRPr="00AD6D6B" w:rsidRDefault="007A43EC" w:rsidP="007A43EC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$12,500</w:t>
            </w:r>
          </w:p>
        </w:tc>
      </w:tr>
      <w:tr w:rsidR="007A43EC" w:rsidRPr="00AD6D6B" w:rsidTr="004D2C71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12F6" w:rsidRDefault="007A43EC" w:rsidP="004D2C71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Category of Work</w:t>
            </w:r>
          </w:p>
        </w:tc>
        <w:tc>
          <w:tcPr>
            <w:tcW w:w="3574" w:type="dxa"/>
          </w:tcPr>
          <w:p w:rsidR="007A43EC" w:rsidRPr="00A10454" w:rsidRDefault="007A43EC" w:rsidP="004D2C71">
            <w:pPr>
              <w:pStyle w:val="ColorfulList-Accent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A10454">
              <w:rPr>
                <w:b/>
                <w:sz w:val="20"/>
                <w:szCs w:val="20"/>
              </w:rPr>
              <w:t>SFS006</w:t>
            </w:r>
          </w:p>
        </w:tc>
      </w:tr>
      <w:tr w:rsidR="007A43EC" w:rsidRPr="00AD6D6B" w:rsidTr="004D2C71">
        <w:trPr>
          <w:trHeight w:val="287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12F6" w:rsidRDefault="007A43EC" w:rsidP="004D2C71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Division/Program Code</w:t>
            </w:r>
          </w:p>
        </w:tc>
        <w:tc>
          <w:tcPr>
            <w:tcW w:w="3574" w:type="dxa"/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7A43EC">
              <w:rPr>
                <w:sz w:val="20"/>
                <w:szCs w:val="20"/>
              </w:rPr>
              <w:t>OSIFE : MIGRATION : Closure &amp; diss. of AHIE Results (O212)</w:t>
            </w:r>
          </w:p>
        </w:tc>
      </w:tr>
      <w:tr w:rsidR="007A43EC" w:rsidRPr="00657DA6" w:rsidTr="004D2C71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12F6" w:rsidRDefault="007A43EC" w:rsidP="004D2C71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7DA6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  <w:lang w:val="pt-BR"/>
              </w:rPr>
            </w:pPr>
            <w:r w:rsidRPr="00657DA6">
              <w:rPr>
                <w:sz w:val="20"/>
                <w:szCs w:val="20"/>
                <w:lang w:val="pt-BR"/>
              </w:rPr>
              <w:t xml:space="preserve">Entity </w:t>
            </w:r>
            <w:r w:rsidRPr="00657DA6">
              <w:rPr>
                <w:i/>
                <w:sz w:val="20"/>
                <w:szCs w:val="20"/>
                <w:lang w:val="pt-BR"/>
              </w:rPr>
              <w:t>(i.e., FPOS, ZUG)</w:t>
            </w:r>
          </w:p>
        </w:tc>
        <w:tc>
          <w:tcPr>
            <w:tcW w:w="3574" w:type="dxa"/>
          </w:tcPr>
          <w:p w:rsidR="007A43EC" w:rsidRPr="00657DA6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FPOS</w:t>
            </w:r>
          </w:p>
        </w:tc>
      </w:tr>
      <w:tr w:rsidR="007A43EC" w:rsidRPr="00AD6D6B" w:rsidTr="004D2C71">
        <w:trPr>
          <w:trHeight w:val="287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7DA6" w:rsidRDefault="007A43EC" w:rsidP="004D2C71">
            <w:pPr>
              <w:spacing w:after="0"/>
              <w:rPr>
                <w:b/>
                <w:bCs/>
                <w:color w:val="262626"/>
                <w:lang w:val="pt-BR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Fund Class </w:t>
            </w:r>
            <w:r w:rsidRPr="00AD6D6B">
              <w:rPr>
                <w:i/>
                <w:sz w:val="20"/>
                <w:szCs w:val="20"/>
              </w:rPr>
              <w:t>(i.e., Lobbying/Non-Lobbying)</w:t>
            </w:r>
          </w:p>
        </w:tc>
        <w:tc>
          <w:tcPr>
            <w:tcW w:w="3574" w:type="dxa"/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Non-lobbying</w:t>
            </w:r>
          </w:p>
        </w:tc>
      </w:tr>
      <w:tr w:rsidR="007A43EC" w:rsidRPr="00AD6D6B" w:rsidTr="004D2C71">
        <w:trPr>
          <w:trHeight w:val="288"/>
        </w:trPr>
        <w:tc>
          <w:tcPr>
            <w:tcW w:w="24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6512F6" w:rsidRDefault="007A43EC" w:rsidP="004D2C71">
            <w:pPr>
              <w:spacing w:after="0"/>
              <w:rPr>
                <w:b/>
                <w:bCs/>
                <w:color w:val="262626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Geography </w:t>
            </w:r>
            <w:r w:rsidRPr="00AD6D6B">
              <w:rPr>
                <w:i/>
                <w:sz w:val="20"/>
                <w:szCs w:val="20"/>
              </w:rPr>
              <w:t>(of benefit)</w:t>
            </w:r>
          </w:p>
        </w:tc>
        <w:tc>
          <w:tcPr>
            <w:tcW w:w="3574" w:type="dxa"/>
          </w:tcPr>
          <w:p w:rsidR="007A43EC" w:rsidRPr="00AD6D6B" w:rsidRDefault="007A43EC" w:rsidP="004D2C71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</w:tr>
    </w:tbl>
    <w:p w:rsidR="00414548" w:rsidRDefault="00414548" w:rsidP="007A43EC">
      <w:pPr>
        <w:spacing w:after="0"/>
        <w:jc w:val="center"/>
      </w:pPr>
    </w:p>
    <w:sectPr w:rsidR="004145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8C" w:rsidRDefault="00C5138C" w:rsidP="00141897">
      <w:pPr>
        <w:spacing w:after="0" w:line="240" w:lineRule="auto"/>
      </w:pPr>
      <w:r>
        <w:separator/>
      </w:r>
    </w:p>
  </w:endnote>
  <w:endnote w:type="continuationSeparator" w:id="0">
    <w:p w:rsidR="00C5138C" w:rsidRDefault="00C5138C" w:rsidP="0014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C1" w:rsidRDefault="00AE57C1" w:rsidP="00AE57C1">
    <w:pPr>
      <w:pStyle w:val="Footer"/>
      <w:jc w:val="right"/>
    </w:pPr>
    <w:r>
      <w:t>19-May-15</w:t>
    </w:r>
  </w:p>
  <w:p w:rsidR="00AE57C1" w:rsidRDefault="00AE5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8C" w:rsidRDefault="00C5138C" w:rsidP="00141897">
      <w:pPr>
        <w:spacing w:after="0" w:line="240" w:lineRule="auto"/>
      </w:pPr>
      <w:r>
        <w:separator/>
      </w:r>
    </w:p>
  </w:footnote>
  <w:footnote w:type="continuationSeparator" w:id="0">
    <w:p w:rsidR="00C5138C" w:rsidRDefault="00C5138C" w:rsidP="0014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92" w:rsidRPr="004D1392" w:rsidRDefault="004D1392" w:rsidP="004D1392">
    <w:pPr>
      <w:pStyle w:val="Header"/>
      <w:jc w:val="center"/>
      <w:rPr>
        <w:b/>
      </w:rPr>
    </w:pPr>
    <w:r w:rsidRPr="004D1392">
      <w:rPr>
        <w:b/>
      </w:rPr>
      <w:t>Budget Allocation Template: Drug Policy Shared Framework</w:t>
    </w:r>
  </w:p>
  <w:p w:rsidR="004D1392" w:rsidRDefault="004D1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3.4pt;visibility:visible;mso-wrap-style:square" o:bullet="t">
        <v:imagedata r:id="rId1" o:title=""/>
      </v:shape>
    </w:pict>
  </w:numPicBullet>
  <w:abstractNum w:abstractNumId="0">
    <w:nsid w:val="2F562A38"/>
    <w:multiLevelType w:val="hybridMultilevel"/>
    <w:tmpl w:val="DCF6732C"/>
    <w:lvl w:ilvl="0" w:tplc="CA8E5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00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A1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2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8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C1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2F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6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E1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7"/>
    <w:rsid w:val="00023F42"/>
    <w:rsid w:val="00066B0E"/>
    <w:rsid w:val="000F0DF1"/>
    <w:rsid w:val="0011279D"/>
    <w:rsid w:val="001239DA"/>
    <w:rsid w:val="001353E8"/>
    <w:rsid w:val="00141897"/>
    <w:rsid w:val="00155788"/>
    <w:rsid w:val="0018359B"/>
    <w:rsid w:val="001C66D5"/>
    <w:rsid w:val="001D7712"/>
    <w:rsid w:val="002B49DE"/>
    <w:rsid w:val="002F2446"/>
    <w:rsid w:val="0032222D"/>
    <w:rsid w:val="00362EDE"/>
    <w:rsid w:val="00396518"/>
    <w:rsid w:val="003A36C7"/>
    <w:rsid w:val="003E66CE"/>
    <w:rsid w:val="00414548"/>
    <w:rsid w:val="004D1392"/>
    <w:rsid w:val="005166D7"/>
    <w:rsid w:val="00535AE5"/>
    <w:rsid w:val="00657DA6"/>
    <w:rsid w:val="00774639"/>
    <w:rsid w:val="007A43EC"/>
    <w:rsid w:val="008D59C1"/>
    <w:rsid w:val="00925C14"/>
    <w:rsid w:val="00A043FD"/>
    <w:rsid w:val="00A10454"/>
    <w:rsid w:val="00A5627A"/>
    <w:rsid w:val="00A568C7"/>
    <w:rsid w:val="00AE57C1"/>
    <w:rsid w:val="00B17B64"/>
    <w:rsid w:val="00BF07B2"/>
    <w:rsid w:val="00C5138C"/>
    <w:rsid w:val="00DB46B2"/>
    <w:rsid w:val="00F15FB9"/>
    <w:rsid w:val="00F534ED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89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41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18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897"/>
    <w:rPr>
      <w:vertAlign w:val="superscript"/>
    </w:rPr>
  </w:style>
  <w:style w:type="table" w:styleId="LightGrid-Accent2">
    <w:name w:val="Light Grid Accent 2"/>
    <w:basedOn w:val="TableNormal"/>
    <w:uiPriority w:val="62"/>
    <w:rsid w:val="001418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41897"/>
    <w:rPr>
      <w:color w:val="0000FF" w:themeColor="hyperlink"/>
      <w:u w:val="single"/>
    </w:rPr>
  </w:style>
  <w:style w:type="table" w:styleId="MediumGrid2-Accent5">
    <w:name w:val="Medium Grid 2 Accent 5"/>
    <w:basedOn w:val="TableNormal"/>
    <w:uiPriority w:val="68"/>
    <w:rsid w:val="001418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3FD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rsid w:val="00B17B64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392"/>
  </w:style>
  <w:style w:type="paragraph" w:styleId="Footer">
    <w:name w:val="footer"/>
    <w:basedOn w:val="Normal"/>
    <w:link w:val="FooterChar"/>
    <w:uiPriority w:val="99"/>
    <w:unhideWhenUsed/>
    <w:rsid w:val="004D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89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41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18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897"/>
    <w:rPr>
      <w:vertAlign w:val="superscript"/>
    </w:rPr>
  </w:style>
  <w:style w:type="table" w:styleId="LightGrid-Accent2">
    <w:name w:val="Light Grid Accent 2"/>
    <w:basedOn w:val="TableNormal"/>
    <w:uiPriority w:val="62"/>
    <w:rsid w:val="001418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41897"/>
    <w:rPr>
      <w:color w:val="0000FF" w:themeColor="hyperlink"/>
      <w:u w:val="single"/>
    </w:rPr>
  </w:style>
  <w:style w:type="table" w:styleId="MediumGrid2-Accent5">
    <w:name w:val="Medium Grid 2 Accent 5"/>
    <w:basedOn w:val="TableNormal"/>
    <w:uiPriority w:val="68"/>
    <w:rsid w:val="001418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3FD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rsid w:val="00B17B64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392"/>
  </w:style>
  <w:style w:type="paragraph" w:styleId="Footer">
    <w:name w:val="footer"/>
    <w:basedOn w:val="Normal"/>
    <w:link w:val="FooterChar"/>
    <w:uiPriority w:val="99"/>
    <w:unhideWhenUsed/>
    <w:rsid w:val="004D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rl.soros.org/communities/reserves/files/ii.-policies/rapid-response-as-of-10-november-2014.doc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rl.soros.org/communities/reserves/view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9749-0B91-4E20-B4F1-7E81E321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Huber</dc:creator>
  <cp:lastModifiedBy>Alexandra Lutoshkina</cp:lastModifiedBy>
  <cp:revision>2</cp:revision>
  <cp:lastPrinted>2015-04-17T20:03:00Z</cp:lastPrinted>
  <dcterms:created xsi:type="dcterms:W3CDTF">2015-07-14T19:40:00Z</dcterms:created>
  <dcterms:modified xsi:type="dcterms:W3CDTF">2015-07-14T19:40:00Z</dcterms:modified>
</cp:coreProperties>
</file>