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48"/>
        <w:gridCol w:w="1525"/>
        <w:gridCol w:w="2049"/>
        <w:gridCol w:w="3574"/>
      </w:tblGrid>
      <w:tr w:rsidR="0085230F" w:rsidRPr="00B151CB" w:rsidTr="001144F9">
        <w:trPr>
          <w:trHeight w:val="350"/>
        </w:trPr>
        <w:tc>
          <w:tcPr>
            <w:tcW w:w="2448" w:type="dxa"/>
            <w:shd w:val="clear" w:color="auto" w:fill="auto"/>
            <w:tcMar>
              <w:top w:w="0" w:type="dxa"/>
              <w:left w:w="108" w:type="dxa"/>
              <w:bottom w:w="0" w:type="dxa"/>
              <w:right w:w="108" w:type="dxa"/>
            </w:tcMar>
            <w:hideMark/>
          </w:tcPr>
          <w:p w:rsidR="0085230F" w:rsidRPr="00535099" w:rsidRDefault="0085230F" w:rsidP="001144F9">
            <w:pPr>
              <w:spacing w:after="0"/>
              <w:rPr>
                <w:rFonts w:ascii="Calibri" w:hAnsi="Calibri"/>
                <w:b/>
                <w:bCs/>
                <w:color w:val="262626"/>
              </w:rPr>
            </w:pPr>
            <w:r w:rsidRPr="00535099">
              <w:rPr>
                <w:b/>
                <w:bCs/>
                <w:color w:val="262626"/>
              </w:rPr>
              <w:t>Shared Framework Title</w:t>
            </w:r>
          </w:p>
        </w:tc>
        <w:tc>
          <w:tcPr>
            <w:tcW w:w="7148" w:type="dxa"/>
            <w:gridSpan w:val="3"/>
            <w:shd w:val="clear" w:color="auto" w:fill="auto"/>
            <w:tcMar>
              <w:top w:w="0" w:type="dxa"/>
              <w:left w:w="108" w:type="dxa"/>
              <w:bottom w:w="0" w:type="dxa"/>
              <w:right w:w="108" w:type="dxa"/>
            </w:tcMar>
          </w:tcPr>
          <w:p w:rsidR="0085230F" w:rsidRPr="00535099" w:rsidRDefault="0085230F" w:rsidP="001144F9">
            <w:pPr>
              <w:spacing w:after="0"/>
              <w:rPr>
                <w:rFonts w:ascii="Calibri" w:hAnsi="Calibri"/>
                <w:color w:val="262626"/>
                <w:sz w:val="20"/>
                <w:szCs w:val="20"/>
              </w:rPr>
            </w:pPr>
            <w:r w:rsidRPr="00535099">
              <w:rPr>
                <w:rFonts w:ascii="Calibri" w:hAnsi="Calibri"/>
                <w:color w:val="262626"/>
                <w:sz w:val="20"/>
                <w:szCs w:val="20"/>
              </w:rPr>
              <w:t>Post-2015 On-the-Ground in Nepal</w:t>
            </w:r>
          </w:p>
        </w:tc>
      </w:tr>
      <w:tr w:rsidR="0085230F" w:rsidRPr="00B151CB" w:rsidTr="001144F9">
        <w:trPr>
          <w:trHeight w:val="20"/>
        </w:trPr>
        <w:tc>
          <w:tcPr>
            <w:tcW w:w="2448" w:type="dxa"/>
            <w:shd w:val="clear" w:color="auto" w:fill="auto"/>
            <w:tcMar>
              <w:top w:w="0" w:type="dxa"/>
              <w:left w:w="108" w:type="dxa"/>
              <w:bottom w:w="0" w:type="dxa"/>
              <w:right w:w="108" w:type="dxa"/>
            </w:tcMar>
          </w:tcPr>
          <w:p w:rsidR="0085230F" w:rsidRPr="00535099" w:rsidRDefault="0085230F" w:rsidP="001144F9">
            <w:pPr>
              <w:spacing w:after="0"/>
              <w:rPr>
                <w:b/>
                <w:bCs/>
                <w:color w:val="262626"/>
              </w:rPr>
            </w:pPr>
            <w:r w:rsidRPr="00535099">
              <w:rPr>
                <w:b/>
                <w:bCs/>
                <w:color w:val="262626"/>
              </w:rPr>
              <w:t>Amount Requested</w:t>
            </w:r>
          </w:p>
        </w:tc>
        <w:tc>
          <w:tcPr>
            <w:tcW w:w="7148" w:type="dxa"/>
            <w:gridSpan w:val="3"/>
            <w:shd w:val="clear" w:color="auto" w:fill="auto"/>
            <w:tcMar>
              <w:top w:w="0" w:type="dxa"/>
              <w:left w:w="108" w:type="dxa"/>
              <w:bottom w:w="0" w:type="dxa"/>
              <w:right w:w="108" w:type="dxa"/>
            </w:tcMar>
          </w:tcPr>
          <w:p w:rsidR="0085230F" w:rsidRPr="00535099" w:rsidRDefault="00E965B4" w:rsidP="00083D63">
            <w:pPr>
              <w:spacing w:after="0"/>
              <w:rPr>
                <w:rFonts w:ascii="Calibri" w:hAnsi="Calibri"/>
                <w:color w:val="262626"/>
                <w:sz w:val="20"/>
                <w:szCs w:val="20"/>
              </w:rPr>
            </w:pPr>
            <w:r>
              <w:rPr>
                <w:rFonts w:ascii="Calibri" w:hAnsi="Calibri"/>
                <w:color w:val="262626"/>
                <w:sz w:val="20"/>
                <w:szCs w:val="20"/>
              </w:rPr>
              <w:t>$</w:t>
            </w:r>
            <w:r w:rsidR="00083D63">
              <w:rPr>
                <w:rFonts w:ascii="Calibri" w:hAnsi="Calibri"/>
                <w:color w:val="262626"/>
                <w:sz w:val="20"/>
                <w:szCs w:val="20"/>
              </w:rPr>
              <w:t>201,500</w:t>
            </w:r>
          </w:p>
        </w:tc>
      </w:tr>
      <w:tr w:rsidR="0085230F" w:rsidRPr="00B151CB" w:rsidTr="001144F9">
        <w:trPr>
          <w:trHeight w:val="20"/>
        </w:trPr>
        <w:tc>
          <w:tcPr>
            <w:tcW w:w="2448" w:type="dxa"/>
            <w:shd w:val="clear" w:color="auto" w:fill="auto"/>
            <w:tcMar>
              <w:top w:w="0" w:type="dxa"/>
              <w:left w:w="108" w:type="dxa"/>
              <w:bottom w:w="0" w:type="dxa"/>
              <w:right w:w="108" w:type="dxa"/>
            </w:tcMar>
          </w:tcPr>
          <w:p w:rsidR="0085230F" w:rsidRDefault="0085230F" w:rsidP="001144F9">
            <w:pPr>
              <w:spacing w:after="0"/>
              <w:rPr>
                <w:b/>
                <w:bCs/>
                <w:color w:val="262626"/>
              </w:rPr>
            </w:pPr>
            <w:r w:rsidRPr="00535099">
              <w:rPr>
                <w:b/>
                <w:bCs/>
                <w:color w:val="262626"/>
              </w:rPr>
              <w:t>Detail on Amount Requested (Optional)</w:t>
            </w:r>
          </w:p>
          <w:p w:rsidR="0089328B" w:rsidRPr="00535099" w:rsidRDefault="0089328B" w:rsidP="001144F9">
            <w:pPr>
              <w:spacing w:after="0"/>
              <w:rPr>
                <w:b/>
                <w:bCs/>
                <w:color w:val="262626"/>
              </w:rPr>
            </w:pPr>
          </w:p>
        </w:tc>
        <w:tc>
          <w:tcPr>
            <w:tcW w:w="7148" w:type="dxa"/>
            <w:gridSpan w:val="3"/>
            <w:shd w:val="clear" w:color="auto" w:fill="auto"/>
            <w:tcMar>
              <w:top w:w="0" w:type="dxa"/>
              <w:left w:w="108" w:type="dxa"/>
              <w:bottom w:w="0" w:type="dxa"/>
              <w:right w:w="108" w:type="dxa"/>
            </w:tcMar>
          </w:tcPr>
          <w:p w:rsidR="0085230F" w:rsidRPr="00535099" w:rsidRDefault="00AC3D31" w:rsidP="001144F9">
            <w:pPr>
              <w:spacing w:after="0"/>
              <w:rPr>
                <w:rFonts w:ascii="Calibri" w:hAnsi="Calibri"/>
                <w:color w:val="262626"/>
                <w:sz w:val="20"/>
                <w:szCs w:val="20"/>
              </w:rPr>
            </w:pPr>
            <w:r w:rsidRPr="00535099">
              <w:rPr>
                <w:rFonts w:ascii="Calibri" w:hAnsi="Calibri"/>
                <w:color w:val="262626"/>
                <w:sz w:val="20"/>
                <w:szCs w:val="20"/>
              </w:rPr>
              <w:t>A</w:t>
            </w:r>
            <w:r w:rsidR="00715D26">
              <w:rPr>
                <w:rFonts w:ascii="Calibri" w:hAnsi="Calibri"/>
                <w:color w:val="262626"/>
                <w:sz w:val="20"/>
                <w:szCs w:val="20"/>
              </w:rPr>
              <w:t xml:space="preserve">lliance for </w:t>
            </w:r>
            <w:r w:rsidRPr="00535099">
              <w:rPr>
                <w:rFonts w:ascii="Calibri" w:hAnsi="Calibri"/>
                <w:color w:val="262626"/>
                <w:sz w:val="20"/>
                <w:szCs w:val="20"/>
              </w:rPr>
              <w:t>S</w:t>
            </w:r>
            <w:r w:rsidR="00715D26">
              <w:rPr>
                <w:rFonts w:ascii="Calibri" w:hAnsi="Calibri"/>
                <w:color w:val="262626"/>
                <w:sz w:val="20"/>
                <w:szCs w:val="20"/>
              </w:rPr>
              <w:t xml:space="preserve">ocial </w:t>
            </w:r>
            <w:r w:rsidRPr="00535099">
              <w:rPr>
                <w:rFonts w:ascii="Calibri" w:hAnsi="Calibri"/>
                <w:color w:val="262626"/>
                <w:sz w:val="20"/>
                <w:szCs w:val="20"/>
              </w:rPr>
              <w:t>D</w:t>
            </w:r>
            <w:r w:rsidR="00715D26">
              <w:rPr>
                <w:rFonts w:ascii="Calibri" w:hAnsi="Calibri"/>
                <w:color w:val="262626"/>
                <w:sz w:val="20"/>
                <w:szCs w:val="20"/>
              </w:rPr>
              <w:t>ialogue</w:t>
            </w:r>
            <w:r w:rsidRPr="00535099">
              <w:rPr>
                <w:rFonts w:ascii="Calibri" w:hAnsi="Calibri"/>
                <w:color w:val="262626"/>
                <w:sz w:val="20"/>
                <w:szCs w:val="20"/>
              </w:rPr>
              <w:t xml:space="preserve">/APRO - USD 109000.00 </w:t>
            </w:r>
          </w:p>
          <w:p w:rsidR="0089328B" w:rsidRDefault="00E965B4" w:rsidP="001144F9">
            <w:pPr>
              <w:spacing w:after="0"/>
              <w:rPr>
                <w:rFonts w:ascii="Calibri" w:hAnsi="Calibri"/>
                <w:color w:val="262626"/>
                <w:sz w:val="20"/>
                <w:szCs w:val="20"/>
              </w:rPr>
            </w:pPr>
            <w:r>
              <w:rPr>
                <w:rFonts w:ascii="Calibri" w:hAnsi="Calibri"/>
                <w:color w:val="262626"/>
                <w:sz w:val="20"/>
                <w:szCs w:val="20"/>
              </w:rPr>
              <w:t>OSJI - USD 84,316</w:t>
            </w:r>
            <w:r w:rsidR="00AC3D31" w:rsidRPr="00535099">
              <w:rPr>
                <w:rFonts w:ascii="Calibri" w:hAnsi="Calibri"/>
                <w:color w:val="262626"/>
                <w:sz w:val="20"/>
                <w:szCs w:val="20"/>
              </w:rPr>
              <w:t>.00</w:t>
            </w:r>
            <w:r w:rsidR="0089328B">
              <w:rPr>
                <w:rFonts w:ascii="Calibri" w:hAnsi="Calibri"/>
                <w:color w:val="262626"/>
                <w:sz w:val="20"/>
                <w:szCs w:val="20"/>
              </w:rPr>
              <w:t xml:space="preserve"> </w:t>
            </w:r>
          </w:p>
          <w:p w:rsidR="00AC3D31" w:rsidRPr="00535099" w:rsidRDefault="0089328B" w:rsidP="001144F9">
            <w:pPr>
              <w:spacing w:after="0"/>
              <w:rPr>
                <w:rFonts w:ascii="Calibri" w:hAnsi="Calibri"/>
                <w:color w:val="262626"/>
                <w:sz w:val="20"/>
                <w:szCs w:val="20"/>
              </w:rPr>
            </w:pPr>
            <w:r>
              <w:rPr>
                <w:rFonts w:ascii="Calibri" w:hAnsi="Calibri"/>
                <w:color w:val="262626"/>
                <w:sz w:val="20"/>
                <w:szCs w:val="20"/>
              </w:rPr>
              <w:t>OSJI - USD 8,184</w:t>
            </w:r>
          </w:p>
        </w:tc>
      </w:tr>
      <w:tr w:rsidR="0085230F" w:rsidRPr="00B151CB" w:rsidTr="001144F9">
        <w:trPr>
          <w:trHeight w:val="20"/>
        </w:trPr>
        <w:tc>
          <w:tcPr>
            <w:tcW w:w="2448" w:type="dxa"/>
            <w:shd w:val="clear" w:color="auto" w:fill="auto"/>
            <w:tcMar>
              <w:top w:w="0" w:type="dxa"/>
              <w:left w:w="108" w:type="dxa"/>
              <w:bottom w:w="0" w:type="dxa"/>
              <w:right w:w="108" w:type="dxa"/>
            </w:tcMar>
          </w:tcPr>
          <w:p w:rsidR="0085230F" w:rsidRPr="00535099" w:rsidRDefault="0085230F" w:rsidP="00715D26">
            <w:pPr>
              <w:spacing w:after="0"/>
              <w:rPr>
                <w:b/>
                <w:bCs/>
                <w:color w:val="262626"/>
              </w:rPr>
            </w:pPr>
            <w:r w:rsidRPr="00535099">
              <w:rPr>
                <w:b/>
                <w:bCs/>
                <w:color w:val="262626"/>
              </w:rPr>
              <w:t>Background (Optional)</w:t>
            </w:r>
          </w:p>
        </w:tc>
        <w:tc>
          <w:tcPr>
            <w:tcW w:w="7148" w:type="dxa"/>
            <w:gridSpan w:val="3"/>
            <w:shd w:val="clear" w:color="auto" w:fill="auto"/>
            <w:tcMar>
              <w:top w:w="0" w:type="dxa"/>
              <w:left w:w="108" w:type="dxa"/>
              <w:bottom w:w="0" w:type="dxa"/>
              <w:right w:w="108" w:type="dxa"/>
            </w:tcMar>
          </w:tcPr>
          <w:p w:rsidR="0085230F" w:rsidRPr="00535099" w:rsidRDefault="006849C3" w:rsidP="00715D26">
            <w:pPr>
              <w:spacing w:after="0"/>
              <w:rPr>
                <w:rFonts w:ascii="Calibri" w:hAnsi="Calibri"/>
                <w:color w:val="262626"/>
                <w:sz w:val="20"/>
                <w:szCs w:val="20"/>
                <w:lang w:val="pt-BR"/>
              </w:rPr>
            </w:pPr>
            <w:r w:rsidRPr="00535099">
              <w:rPr>
                <w:rFonts w:ascii="Calibri" w:hAnsi="Calibri"/>
                <w:color w:val="262626"/>
                <w:sz w:val="20"/>
                <w:szCs w:val="20"/>
                <w:lang w:val="pt-BR"/>
              </w:rPr>
              <w:t>Ac</w:t>
            </w:r>
            <w:r w:rsidR="00715D26">
              <w:rPr>
                <w:rFonts w:ascii="Calibri" w:hAnsi="Calibri"/>
                <w:color w:val="262626"/>
                <w:sz w:val="20"/>
                <w:szCs w:val="20"/>
                <w:lang w:val="pt-BR"/>
              </w:rPr>
              <w:t>c</w:t>
            </w:r>
            <w:r w:rsidRPr="00535099">
              <w:rPr>
                <w:rFonts w:ascii="Calibri" w:hAnsi="Calibri"/>
                <w:color w:val="262626"/>
                <w:sz w:val="20"/>
                <w:szCs w:val="20"/>
                <w:lang w:val="pt-BR"/>
              </w:rPr>
              <w:t>ess to</w:t>
            </w:r>
            <w:r w:rsidR="00715D26">
              <w:rPr>
                <w:rFonts w:ascii="Calibri" w:hAnsi="Calibri"/>
                <w:color w:val="262626"/>
                <w:sz w:val="20"/>
                <w:szCs w:val="20"/>
                <w:lang w:val="pt-BR"/>
              </w:rPr>
              <w:t xml:space="preserve"> Justice was not a new commitment for the Government</w:t>
            </w:r>
            <w:r w:rsidRPr="00535099">
              <w:rPr>
                <w:rFonts w:ascii="Calibri" w:hAnsi="Calibri"/>
                <w:color w:val="262626"/>
                <w:sz w:val="20"/>
                <w:szCs w:val="20"/>
                <w:lang w:val="pt-BR"/>
              </w:rPr>
              <w:t xml:space="preserve"> an</w:t>
            </w:r>
            <w:r w:rsidR="00715D26">
              <w:rPr>
                <w:rFonts w:ascii="Calibri" w:hAnsi="Calibri"/>
                <w:color w:val="262626"/>
                <w:sz w:val="20"/>
                <w:szCs w:val="20"/>
                <w:lang w:val="pt-BR"/>
              </w:rPr>
              <w:t>d Civil Society Organizations (CSOs) in Nepal</w:t>
            </w:r>
            <w:r w:rsidRPr="00535099">
              <w:rPr>
                <w:rFonts w:ascii="Calibri" w:hAnsi="Calibri"/>
                <w:color w:val="262626"/>
                <w:sz w:val="20"/>
                <w:szCs w:val="20"/>
                <w:lang w:val="pt-BR"/>
              </w:rPr>
              <w:t>. However, the indicators/measures and the means of implementation of</w:t>
            </w:r>
            <w:r w:rsidR="00715D26">
              <w:rPr>
                <w:rFonts w:ascii="Calibri" w:hAnsi="Calibri"/>
                <w:color w:val="262626"/>
                <w:sz w:val="20"/>
                <w:szCs w:val="20"/>
                <w:lang w:val="pt-BR"/>
              </w:rPr>
              <w:t xml:space="preserve"> justice</w:t>
            </w:r>
            <w:r w:rsidRPr="00535099">
              <w:rPr>
                <w:rFonts w:ascii="Calibri" w:hAnsi="Calibri"/>
                <w:color w:val="262626"/>
                <w:sz w:val="20"/>
                <w:szCs w:val="20"/>
                <w:lang w:val="pt-BR"/>
              </w:rPr>
              <w:t xml:space="preserve"> and legal </w:t>
            </w:r>
            <w:r w:rsidR="00715D26">
              <w:rPr>
                <w:rFonts w:ascii="Calibri" w:hAnsi="Calibri"/>
                <w:color w:val="262626"/>
                <w:sz w:val="20"/>
                <w:szCs w:val="20"/>
                <w:lang w:val="pt-BR"/>
              </w:rPr>
              <w:t xml:space="preserve">identity had </w:t>
            </w:r>
            <w:r w:rsidRPr="00535099">
              <w:rPr>
                <w:rFonts w:ascii="Calibri" w:hAnsi="Calibri"/>
                <w:color w:val="262626"/>
                <w:sz w:val="20"/>
                <w:szCs w:val="20"/>
                <w:lang w:val="pt-BR"/>
              </w:rPr>
              <w:t>never</w:t>
            </w:r>
            <w:r w:rsidR="00715D26">
              <w:rPr>
                <w:rFonts w:ascii="Calibri" w:hAnsi="Calibri"/>
                <w:color w:val="262626"/>
                <w:sz w:val="20"/>
                <w:szCs w:val="20"/>
                <w:lang w:val="pt-BR"/>
              </w:rPr>
              <w:t xml:space="preserve"> been </w:t>
            </w:r>
            <w:r w:rsidRPr="00535099">
              <w:rPr>
                <w:rFonts w:ascii="Calibri" w:hAnsi="Calibri"/>
                <w:color w:val="262626"/>
                <w:sz w:val="20"/>
                <w:szCs w:val="20"/>
                <w:lang w:val="pt-BR"/>
              </w:rPr>
              <w:t xml:space="preserve">a priority of </w:t>
            </w:r>
            <w:r w:rsidR="00715D26">
              <w:rPr>
                <w:rFonts w:ascii="Calibri" w:hAnsi="Calibri"/>
                <w:color w:val="262626"/>
                <w:sz w:val="20"/>
                <w:szCs w:val="20"/>
                <w:lang w:val="pt-BR"/>
              </w:rPr>
              <w:t xml:space="preserve">the government before ASD and </w:t>
            </w:r>
            <w:r w:rsidRPr="00535099">
              <w:rPr>
                <w:rFonts w:ascii="Calibri" w:hAnsi="Calibri"/>
                <w:color w:val="262626"/>
                <w:sz w:val="20"/>
                <w:szCs w:val="20"/>
                <w:lang w:val="pt-BR"/>
              </w:rPr>
              <w:t>OSJI  introduced this agenda amongst CSOs and the governmen</w:t>
            </w:r>
            <w:r w:rsidR="00715D26">
              <w:rPr>
                <w:rFonts w:ascii="Calibri" w:hAnsi="Calibri"/>
                <w:color w:val="262626"/>
                <w:sz w:val="20"/>
                <w:szCs w:val="20"/>
                <w:lang w:val="pt-BR"/>
              </w:rPr>
              <w:t>t. We persuaded Nepal government</w:t>
            </w:r>
            <w:r w:rsidRPr="00535099">
              <w:rPr>
                <w:rFonts w:ascii="Calibri" w:hAnsi="Calibri"/>
                <w:color w:val="262626"/>
                <w:sz w:val="20"/>
                <w:szCs w:val="20"/>
                <w:lang w:val="pt-BR"/>
              </w:rPr>
              <w:t xml:space="preserve"> and  CSOs to realize its i</w:t>
            </w:r>
            <w:r w:rsidR="00715D26">
              <w:rPr>
                <w:rFonts w:ascii="Calibri" w:hAnsi="Calibri"/>
                <w:color w:val="262626"/>
                <w:sz w:val="20"/>
                <w:szCs w:val="20"/>
                <w:lang w:val="pt-BR"/>
              </w:rPr>
              <w:t xml:space="preserve">mportance and linkage with </w:t>
            </w:r>
            <w:r w:rsidRPr="00535099">
              <w:rPr>
                <w:rFonts w:ascii="Calibri" w:hAnsi="Calibri"/>
                <w:color w:val="262626"/>
                <w:sz w:val="20"/>
                <w:szCs w:val="20"/>
                <w:lang w:val="pt-BR"/>
              </w:rPr>
              <w:t xml:space="preserve">development. We extended our collaboration with them and supported to the National Planning Commission </w:t>
            </w:r>
            <w:r w:rsidR="00715D26">
              <w:rPr>
                <w:rFonts w:ascii="Calibri" w:hAnsi="Calibri"/>
                <w:color w:val="262626"/>
                <w:sz w:val="20"/>
                <w:szCs w:val="20"/>
                <w:lang w:val="pt-BR"/>
              </w:rPr>
              <w:t xml:space="preserve">(NPC) </w:t>
            </w:r>
            <w:r w:rsidRPr="00535099">
              <w:rPr>
                <w:rFonts w:ascii="Calibri" w:hAnsi="Calibri"/>
                <w:color w:val="262626"/>
                <w:sz w:val="20"/>
                <w:szCs w:val="20"/>
                <w:lang w:val="pt-BR"/>
              </w:rPr>
              <w:t>to work on this. Our effort during 2014 has laid a foundation for 2015 to inst</w:t>
            </w:r>
            <w:r w:rsidR="00715D26">
              <w:rPr>
                <w:rFonts w:ascii="Calibri" w:hAnsi="Calibri"/>
                <w:color w:val="262626"/>
                <w:sz w:val="20"/>
                <w:szCs w:val="20"/>
                <w:lang w:val="pt-BR"/>
              </w:rPr>
              <w:t>i</w:t>
            </w:r>
            <w:r w:rsidRPr="00535099">
              <w:rPr>
                <w:rFonts w:ascii="Calibri" w:hAnsi="Calibri"/>
                <w:color w:val="262626"/>
                <w:sz w:val="20"/>
                <w:szCs w:val="20"/>
                <w:lang w:val="pt-BR"/>
              </w:rPr>
              <w:t>tut</w:t>
            </w:r>
            <w:r w:rsidR="00715D26">
              <w:rPr>
                <w:rFonts w:ascii="Calibri" w:hAnsi="Calibri"/>
                <w:color w:val="262626"/>
                <w:sz w:val="20"/>
                <w:szCs w:val="20"/>
                <w:lang w:val="pt-BR"/>
              </w:rPr>
              <w:t>ionalize the</w:t>
            </w:r>
            <w:r w:rsidRPr="00535099">
              <w:rPr>
                <w:rFonts w:ascii="Calibri" w:hAnsi="Calibri"/>
                <w:color w:val="262626"/>
                <w:sz w:val="20"/>
                <w:szCs w:val="20"/>
                <w:lang w:val="pt-BR"/>
              </w:rPr>
              <w:t xml:space="preserve"> whole pr</w:t>
            </w:r>
            <w:r w:rsidR="00E07124" w:rsidRPr="00535099">
              <w:rPr>
                <w:rFonts w:ascii="Calibri" w:hAnsi="Calibri"/>
                <w:color w:val="262626"/>
                <w:sz w:val="20"/>
                <w:szCs w:val="20"/>
                <w:lang w:val="pt-BR"/>
              </w:rPr>
              <w:t>ocess b</w:t>
            </w:r>
            <w:r w:rsidR="00715D26">
              <w:rPr>
                <w:rFonts w:ascii="Calibri" w:hAnsi="Calibri"/>
                <w:color w:val="262626"/>
                <w:sz w:val="20"/>
                <w:szCs w:val="20"/>
                <w:lang w:val="pt-BR"/>
              </w:rPr>
              <w:t>y the Nepal government to inte</w:t>
            </w:r>
            <w:r w:rsidR="00E07124" w:rsidRPr="00535099">
              <w:rPr>
                <w:rFonts w:ascii="Calibri" w:hAnsi="Calibri"/>
                <w:color w:val="262626"/>
                <w:sz w:val="20"/>
                <w:szCs w:val="20"/>
                <w:lang w:val="pt-BR"/>
              </w:rPr>
              <w:t>grate</w:t>
            </w:r>
            <w:r w:rsidR="00715D26">
              <w:rPr>
                <w:rFonts w:ascii="Calibri" w:hAnsi="Calibri"/>
                <w:color w:val="262626"/>
                <w:sz w:val="20"/>
                <w:szCs w:val="20"/>
                <w:lang w:val="pt-BR"/>
              </w:rPr>
              <w:t xml:space="preserve"> access to j</w:t>
            </w:r>
            <w:r w:rsidRPr="00535099">
              <w:rPr>
                <w:rFonts w:ascii="Calibri" w:hAnsi="Calibri"/>
                <w:color w:val="262626"/>
                <w:sz w:val="20"/>
                <w:szCs w:val="20"/>
                <w:lang w:val="pt-BR"/>
              </w:rPr>
              <w:t>u</w:t>
            </w:r>
            <w:r w:rsidR="00715D26">
              <w:rPr>
                <w:rFonts w:ascii="Calibri" w:hAnsi="Calibri"/>
                <w:color w:val="262626"/>
                <w:sz w:val="20"/>
                <w:szCs w:val="20"/>
                <w:lang w:val="pt-BR"/>
              </w:rPr>
              <w:t>s</w:t>
            </w:r>
            <w:r w:rsidRPr="00535099">
              <w:rPr>
                <w:rFonts w:ascii="Calibri" w:hAnsi="Calibri"/>
                <w:color w:val="262626"/>
                <w:sz w:val="20"/>
                <w:szCs w:val="20"/>
                <w:lang w:val="pt-BR"/>
              </w:rPr>
              <w:t>tice in dev</w:t>
            </w:r>
            <w:r w:rsidR="00715D26">
              <w:rPr>
                <w:rFonts w:ascii="Calibri" w:hAnsi="Calibri"/>
                <w:color w:val="262626"/>
                <w:sz w:val="20"/>
                <w:szCs w:val="20"/>
                <w:lang w:val="pt-BR"/>
              </w:rPr>
              <w:t>elopment plans and to</w:t>
            </w:r>
            <w:r w:rsidR="00E07124" w:rsidRPr="00535099">
              <w:rPr>
                <w:rFonts w:ascii="Calibri" w:hAnsi="Calibri"/>
                <w:color w:val="262626"/>
                <w:sz w:val="20"/>
                <w:szCs w:val="20"/>
                <w:lang w:val="pt-BR"/>
              </w:rPr>
              <w:t xml:space="preserve"> mobilize </w:t>
            </w:r>
            <w:r w:rsidRPr="00535099">
              <w:rPr>
                <w:rFonts w:ascii="Calibri" w:hAnsi="Calibri"/>
                <w:color w:val="262626"/>
                <w:sz w:val="20"/>
                <w:szCs w:val="20"/>
                <w:lang w:val="pt-BR"/>
              </w:rPr>
              <w:t xml:space="preserve"> community paralegals to in</w:t>
            </w:r>
            <w:r w:rsidR="00E07124" w:rsidRPr="00535099">
              <w:rPr>
                <w:rFonts w:ascii="Calibri" w:hAnsi="Calibri"/>
                <w:color w:val="262626"/>
                <w:sz w:val="20"/>
                <w:szCs w:val="20"/>
                <w:lang w:val="pt-BR"/>
              </w:rPr>
              <w:t>crease access to legal identity documents.  The planned activities for 2015</w:t>
            </w:r>
            <w:r w:rsidR="00715D26">
              <w:rPr>
                <w:rFonts w:ascii="Calibri" w:hAnsi="Calibri"/>
                <w:color w:val="262626"/>
                <w:sz w:val="20"/>
                <w:szCs w:val="20"/>
                <w:lang w:val="pt-BR"/>
              </w:rPr>
              <w:t>,</w:t>
            </w:r>
            <w:r w:rsidR="00E07124" w:rsidRPr="00535099">
              <w:rPr>
                <w:rFonts w:ascii="Calibri" w:hAnsi="Calibri"/>
                <w:color w:val="262626"/>
                <w:sz w:val="20"/>
                <w:szCs w:val="20"/>
                <w:lang w:val="pt-BR"/>
              </w:rPr>
              <w:t xml:space="preserve"> </w:t>
            </w:r>
            <w:r w:rsidR="00715D26">
              <w:rPr>
                <w:rFonts w:ascii="Calibri" w:hAnsi="Calibri"/>
                <w:color w:val="262626"/>
                <w:sz w:val="20"/>
                <w:szCs w:val="20"/>
                <w:lang w:val="pt-BR"/>
              </w:rPr>
              <w:t>by building on the work in</w:t>
            </w:r>
            <w:r w:rsidR="00E07124" w:rsidRPr="00535099">
              <w:rPr>
                <w:rFonts w:ascii="Calibri" w:hAnsi="Calibri"/>
                <w:color w:val="262626"/>
                <w:sz w:val="20"/>
                <w:szCs w:val="20"/>
                <w:lang w:val="pt-BR"/>
              </w:rPr>
              <w:t xml:space="preserve"> 2014</w:t>
            </w:r>
            <w:r w:rsidR="00715D26">
              <w:rPr>
                <w:rFonts w:ascii="Calibri" w:hAnsi="Calibri"/>
                <w:color w:val="262626"/>
                <w:sz w:val="20"/>
                <w:szCs w:val="20"/>
                <w:lang w:val="pt-BR"/>
              </w:rPr>
              <w:t xml:space="preserve">, </w:t>
            </w:r>
            <w:r w:rsidR="00E07124" w:rsidRPr="00535099">
              <w:rPr>
                <w:rFonts w:ascii="Calibri" w:hAnsi="Calibri"/>
                <w:color w:val="262626"/>
                <w:sz w:val="20"/>
                <w:szCs w:val="20"/>
                <w:lang w:val="pt-BR"/>
              </w:rPr>
              <w:t>will help to materialize the support strategy of</w:t>
            </w:r>
            <w:r w:rsidR="00715D26">
              <w:rPr>
                <w:rFonts w:ascii="Calibri" w:hAnsi="Calibri"/>
                <w:color w:val="262626"/>
                <w:sz w:val="20"/>
                <w:szCs w:val="20"/>
                <w:lang w:val="pt-BR"/>
              </w:rPr>
              <w:t xml:space="preserve"> NPC and support to CSOs so that we will have s </w:t>
            </w:r>
            <w:r w:rsidR="00E07124" w:rsidRPr="00535099">
              <w:rPr>
                <w:rFonts w:ascii="Calibri" w:hAnsi="Calibri"/>
                <w:color w:val="262626"/>
                <w:sz w:val="20"/>
                <w:szCs w:val="20"/>
                <w:lang w:val="pt-BR"/>
              </w:rPr>
              <w:t>sustained and institutionalize</w:t>
            </w:r>
            <w:r w:rsidR="00715D26">
              <w:rPr>
                <w:rFonts w:ascii="Calibri" w:hAnsi="Calibri"/>
                <w:color w:val="262626"/>
                <w:sz w:val="20"/>
                <w:szCs w:val="20"/>
                <w:lang w:val="pt-BR"/>
              </w:rPr>
              <w:t>d mechanism</w:t>
            </w:r>
            <w:r w:rsidR="00E07124" w:rsidRPr="00535099">
              <w:rPr>
                <w:rFonts w:ascii="Calibri" w:hAnsi="Calibri"/>
                <w:color w:val="262626"/>
                <w:sz w:val="20"/>
                <w:szCs w:val="20"/>
                <w:lang w:val="pt-BR"/>
              </w:rPr>
              <w:t xml:space="preserve"> to increase access to legal identity documents</w:t>
            </w:r>
            <w:r w:rsidR="00715D26">
              <w:rPr>
                <w:rFonts w:ascii="Calibri" w:hAnsi="Calibri"/>
                <w:color w:val="262626"/>
                <w:sz w:val="20"/>
                <w:szCs w:val="20"/>
                <w:lang w:val="pt-BR"/>
              </w:rPr>
              <w:t xml:space="preserve"> as a main gate for access to j</w:t>
            </w:r>
            <w:r w:rsidR="00E07124" w:rsidRPr="00535099">
              <w:rPr>
                <w:rFonts w:ascii="Calibri" w:hAnsi="Calibri"/>
                <w:color w:val="262626"/>
                <w:sz w:val="20"/>
                <w:szCs w:val="20"/>
                <w:lang w:val="pt-BR"/>
              </w:rPr>
              <w:t>u</w:t>
            </w:r>
            <w:r w:rsidR="00715D26">
              <w:rPr>
                <w:rFonts w:ascii="Calibri" w:hAnsi="Calibri"/>
                <w:color w:val="262626"/>
                <w:sz w:val="20"/>
                <w:szCs w:val="20"/>
                <w:lang w:val="pt-BR"/>
              </w:rPr>
              <w:t>s</w:t>
            </w:r>
            <w:r w:rsidR="00E07124" w:rsidRPr="00535099">
              <w:rPr>
                <w:rFonts w:ascii="Calibri" w:hAnsi="Calibri"/>
                <w:color w:val="262626"/>
                <w:sz w:val="20"/>
                <w:szCs w:val="20"/>
                <w:lang w:val="pt-BR"/>
              </w:rPr>
              <w:t>tice and development.</w:t>
            </w:r>
          </w:p>
        </w:tc>
      </w:tr>
      <w:tr w:rsidR="0085230F" w:rsidRPr="00B151CB" w:rsidTr="001144F9">
        <w:trPr>
          <w:trHeight w:val="20"/>
        </w:trPr>
        <w:tc>
          <w:tcPr>
            <w:tcW w:w="2448" w:type="dxa"/>
            <w:shd w:val="clear" w:color="auto" w:fill="auto"/>
            <w:tcMar>
              <w:top w:w="0" w:type="dxa"/>
              <w:left w:w="108" w:type="dxa"/>
              <w:bottom w:w="0" w:type="dxa"/>
              <w:right w:w="108" w:type="dxa"/>
            </w:tcMar>
          </w:tcPr>
          <w:p w:rsidR="0085230F" w:rsidRPr="00535099" w:rsidRDefault="0085230F" w:rsidP="001144F9">
            <w:pPr>
              <w:spacing w:after="0"/>
              <w:rPr>
                <w:b/>
                <w:bCs/>
                <w:color w:val="262626"/>
              </w:rPr>
            </w:pPr>
            <w:r w:rsidRPr="00535099">
              <w:rPr>
                <w:b/>
                <w:bCs/>
                <w:color w:val="262626"/>
              </w:rPr>
              <w:t>Summary of Plans and Relation to Overall Shared Framework Goals (100 words)</w:t>
            </w:r>
          </w:p>
        </w:tc>
        <w:tc>
          <w:tcPr>
            <w:tcW w:w="7148" w:type="dxa"/>
            <w:gridSpan w:val="3"/>
            <w:shd w:val="clear" w:color="auto" w:fill="auto"/>
            <w:tcMar>
              <w:top w:w="0" w:type="dxa"/>
              <w:left w:w="108" w:type="dxa"/>
              <w:bottom w:w="0" w:type="dxa"/>
              <w:right w:w="108" w:type="dxa"/>
            </w:tcMar>
          </w:tcPr>
          <w:p w:rsidR="0085230F" w:rsidRPr="00535099" w:rsidRDefault="0080167F" w:rsidP="001144F9">
            <w:pPr>
              <w:spacing w:after="0"/>
              <w:rPr>
                <w:rFonts w:ascii="Calibri" w:hAnsi="Calibri"/>
                <w:color w:val="262626"/>
                <w:sz w:val="20"/>
                <w:szCs w:val="20"/>
                <w:lang w:val="pt-BR"/>
              </w:rPr>
            </w:pPr>
            <w:r w:rsidRPr="00535099">
              <w:rPr>
                <w:rFonts w:ascii="Calibri" w:hAnsi="Calibri"/>
                <w:color w:val="262626"/>
                <w:sz w:val="20"/>
                <w:szCs w:val="20"/>
                <w:lang w:val="pt-BR"/>
              </w:rPr>
              <w:t>The Nepal team’s work can be divided into three strands: a)  institutionalizing civil society and government partnerships in developing a shared access to justice strategy as part of national development planning; b) supporting civil society organizations to mobilize community paralegals to show a demonstrative effect of delivering legal identity services to communities with a particular focus on women through collaboration with local government; and, c) regional and international advocacy to showcase Nepal’s experience of integrating and prioritizing justice targets and the partnerships it requires.</w:t>
            </w:r>
          </w:p>
        </w:tc>
      </w:tr>
      <w:tr w:rsidR="0085230F" w:rsidRPr="00B151CB" w:rsidTr="001144F9">
        <w:trPr>
          <w:trHeight w:val="20"/>
        </w:trPr>
        <w:tc>
          <w:tcPr>
            <w:tcW w:w="2448" w:type="dxa"/>
            <w:shd w:val="clear" w:color="auto" w:fill="auto"/>
            <w:tcMar>
              <w:top w:w="0" w:type="dxa"/>
              <w:left w:w="108" w:type="dxa"/>
              <w:bottom w:w="0" w:type="dxa"/>
              <w:right w:w="108" w:type="dxa"/>
            </w:tcMar>
          </w:tcPr>
          <w:p w:rsidR="0085230F" w:rsidRPr="00535099" w:rsidRDefault="0085230F" w:rsidP="001144F9">
            <w:pPr>
              <w:spacing w:after="0"/>
              <w:rPr>
                <w:b/>
                <w:bCs/>
                <w:color w:val="262626"/>
              </w:rPr>
            </w:pPr>
            <w:r w:rsidRPr="00535099">
              <w:rPr>
                <w:b/>
                <w:bCs/>
                <w:color w:val="262626"/>
              </w:rPr>
              <w:t>Activities Proposed (500 words)</w:t>
            </w:r>
          </w:p>
        </w:tc>
        <w:tc>
          <w:tcPr>
            <w:tcW w:w="7148" w:type="dxa"/>
            <w:gridSpan w:val="3"/>
            <w:shd w:val="clear" w:color="auto" w:fill="auto"/>
            <w:tcMar>
              <w:top w:w="0" w:type="dxa"/>
              <w:left w:w="108" w:type="dxa"/>
              <w:bottom w:w="0" w:type="dxa"/>
              <w:right w:w="108" w:type="dxa"/>
            </w:tcMar>
          </w:tcPr>
          <w:p w:rsidR="00C92812" w:rsidRPr="00535099" w:rsidRDefault="00C92812" w:rsidP="00C92812">
            <w:pPr>
              <w:spacing w:after="0"/>
              <w:rPr>
                <w:rFonts w:ascii="Calibri" w:hAnsi="Calibri"/>
                <w:color w:val="262626"/>
                <w:sz w:val="20"/>
                <w:szCs w:val="20"/>
                <w:lang w:val="pt-BR"/>
              </w:rPr>
            </w:pPr>
            <w:r w:rsidRPr="00535099">
              <w:rPr>
                <w:rFonts w:ascii="Calibri" w:hAnsi="Calibri"/>
                <w:color w:val="262626"/>
                <w:sz w:val="20"/>
                <w:szCs w:val="20"/>
                <w:lang w:val="pt-BR"/>
              </w:rPr>
              <w:t>In 2014, the team laid the groundwork to ‘deploy’ key government actors as advocates for justice in the post 2015 framework and in the national planning processes.  As a result of our joint efforts, we now have a strong relationship with Nepal Planning Commission and the Foreign Ministry of Nepal. In 2015, ASD and JI will convene civil society partners and directly provide key inputs into the national position on post 2015. We will leverage our partnership with Nepal Planning Commission to advocate for the inclusion of goal number 16 and goal number 5 and articulate a more nuanced approach on means of implementation.  ASD and JI will also provide technical support to Planning Commission in setting benchmark and indicators to be included into the development plan of Nepal, to provide concrete examples of explicit links to justice and development.</w:t>
            </w:r>
          </w:p>
          <w:p w:rsidR="00C92812" w:rsidRPr="00535099" w:rsidRDefault="00C92812" w:rsidP="00C92812">
            <w:pPr>
              <w:spacing w:after="0"/>
              <w:rPr>
                <w:rFonts w:ascii="Calibri" w:hAnsi="Calibri"/>
                <w:color w:val="262626"/>
                <w:sz w:val="20"/>
                <w:szCs w:val="20"/>
                <w:lang w:val="pt-BR"/>
              </w:rPr>
            </w:pPr>
          </w:p>
          <w:p w:rsidR="00C92812" w:rsidRPr="00535099" w:rsidRDefault="00C92812" w:rsidP="00B11C2F">
            <w:pPr>
              <w:spacing w:after="0"/>
              <w:rPr>
                <w:rFonts w:ascii="Calibri" w:hAnsi="Calibri"/>
                <w:color w:val="262626"/>
                <w:sz w:val="20"/>
                <w:szCs w:val="20"/>
                <w:lang w:val="pt-BR"/>
              </w:rPr>
            </w:pPr>
            <w:r w:rsidRPr="00535099">
              <w:rPr>
                <w:rFonts w:ascii="Calibri" w:hAnsi="Calibri"/>
                <w:color w:val="262626"/>
                <w:sz w:val="20"/>
                <w:szCs w:val="20"/>
                <w:lang w:val="pt-BR"/>
              </w:rPr>
              <w:t>2015 Implementation framework:</w:t>
            </w:r>
          </w:p>
          <w:p w:rsidR="00C92812" w:rsidRPr="00535099" w:rsidRDefault="00B11C2F" w:rsidP="00C92812">
            <w:pPr>
              <w:spacing w:after="0"/>
              <w:rPr>
                <w:rFonts w:ascii="Calibri" w:hAnsi="Calibri"/>
                <w:color w:val="262626"/>
                <w:sz w:val="20"/>
                <w:szCs w:val="20"/>
                <w:lang w:val="pt-BR"/>
              </w:rPr>
            </w:pPr>
            <w:r w:rsidRPr="00535099">
              <w:rPr>
                <w:rFonts w:ascii="Calibri" w:hAnsi="Calibri"/>
                <w:color w:val="262626"/>
                <w:sz w:val="20"/>
                <w:szCs w:val="20"/>
                <w:lang w:val="pt-BR"/>
              </w:rPr>
              <w:t>1</w:t>
            </w:r>
            <w:r w:rsidR="00C92812" w:rsidRPr="00535099">
              <w:rPr>
                <w:rFonts w:ascii="Calibri" w:hAnsi="Calibri"/>
                <w:color w:val="262626"/>
                <w:sz w:val="20"/>
                <w:szCs w:val="20"/>
                <w:lang w:val="pt-BR"/>
              </w:rPr>
              <w:t>. A thematic consultation on legal identity in New York hosted by National Planning Commission/Permanent Mission in New York in collaboration</w:t>
            </w:r>
          </w:p>
          <w:p w:rsidR="00C92812" w:rsidRPr="00535099" w:rsidRDefault="00B11C2F" w:rsidP="00C92812">
            <w:pPr>
              <w:spacing w:after="0"/>
              <w:rPr>
                <w:rFonts w:ascii="Calibri" w:hAnsi="Calibri"/>
                <w:color w:val="262626"/>
                <w:sz w:val="20"/>
                <w:szCs w:val="20"/>
                <w:lang w:val="pt-BR"/>
              </w:rPr>
            </w:pPr>
            <w:r w:rsidRPr="00535099">
              <w:rPr>
                <w:rFonts w:ascii="Calibri" w:hAnsi="Calibri"/>
                <w:color w:val="262626"/>
                <w:sz w:val="20"/>
                <w:szCs w:val="20"/>
                <w:lang w:val="pt-BR"/>
              </w:rPr>
              <w:t>2</w:t>
            </w:r>
            <w:r w:rsidR="00C92812" w:rsidRPr="00535099">
              <w:rPr>
                <w:rFonts w:ascii="Calibri" w:hAnsi="Calibri"/>
                <w:color w:val="262626"/>
                <w:sz w:val="20"/>
                <w:szCs w:val="20"/>
                <w:lang w:val="pt-BR"/>
              </w:rPr>
              <w:t>. Grants to strengthen civil society engagement</w:t>
            </w:r>
          </w:p>
          <w:p w:rsidR="00C92812" w:rsidRPr="00535099" w:rsidRDefault="00B11C2F" w:rsidP="00C92812">
            <w:pPr>
              <w:spacing w:after="0"/>
              <w:rPr>
                <w:rFonts w:ascii="Calibri" w:hAnsi="Calibri"/>
                <w:color w:val="262626"/>
                <w:sz w:val="20"/>
                <w:szCs w:val="20"/>
                <w:lang w:val="pt-BR"/>
              </w:rPr>
            </w:pPr>
            <w:r w:rsidRPr="00535099">
              <w:rPr>
                <w:rFonts w:ascii="Calibri" w:hAnsi="Calibri"/>
                <w:color w:val="262626"/>
                <w:sz w:val="20"/>
                <w:szCs w:val="20"/>
                <w:lang w:val="pt-BR"/>
              </w:rPr>
              <w:t>3</w:t>
            </w:r>
            <w:r w:rsidR="00C92812" w:rsidRPr="00535099">
              <w:rPr>
                <w:rFonts w:ascii="Calibri" w:hAnsi="Calibri"/>
                <w:color w:val="262626"/>
                <w:sz w:val="20"/>
                <w:szCs w:val="20"/>
                <w:lang w:val="pt-BR"/>
              </w:rPr>
              <w:t>. Support to the National Planning Commission to develop and institutionalize partnerships on justice and development planning</w:t>
            </w:r>
          </w:p>
          <w:p w:rsidR="00C92812" w:rsidRPr="00535099" w:rsidRDefault="00B11C2F" w:rsidP="00C92812">
            <w:pPr>
              <w:spacing w:after="0"/>
              <w:rPr>
                <w:rFonts w:ascii="Calibri" w:hAnsi="Calibri"/>
                <w:color w:val="262626"/>
                <w:sz w:val="20"/>
                <w:szCs w:val="20"/>
                <w:lang w:val="pt-BR"/>
              </w:rPr>
            </w:pPr>
            <w:r w:rsidRPr="00535099">
              <w:rPr>
                <w:rFonts w:ascii="Calibri" w:hAnsi="Calibri"/>
                <w:color w:val="262626"/>
                <w:sz w:val="20"/>
                <w:szCs w:val="20"/>
                <w:lang w:val="pt-BR"/>
              </w:rPr>
              <w:lastRenderedPageBreak/>
              <w:t>4</w:t>
            </w:r>
            <w:r w:rsidR="00C92812" w:rsidRPr="00535099">
              <w:rPr>
                <w:rFonts w:ascii="Calibri" w:hAnsi="Calibri"/>
                <w:color w:val="262626"/>
                <w:sz w:val="20"/>
                <w:szCs w:val="20"/>
                <w:lang w:val="pt-BR"/>
              </w:rPr>
              <w:t>. National Launch of impact assessment, planning workshops</w:t>
            </w:r>
          </w:p>
          <w:p w:rsidR="00C92812" w:rsidRPr="00535099" w:rsidRDefault="00B11C2F" w:rsidP="00C92812">
            <w:pPr>
              <w:spacing w:after="0"/>
              <w:rPr>
                <w:rFonts w:ascii="Calibri" w:hAnsi="Calibri"/>
                <w:color w:val="262626"/>
                <w:sz w:val="20"/>
                <w:szCs w:val="20"/>
                <w:lang w:val="pt-BR"/>
              </w:rPr>
            </w:pPr>
            <w:r w:rsidRPr="00535099">
              <w:rPr>
                <w:rFonts w:ascii="Calibri" w:hAnsi="Calibri"/>
                <w:color w:val="262626"/>
                <w:sz w:val="20"/>
                <w:szCs w:val="20"/>
                <w:lang w:val="pt-BR"/>
              </w:rPr>
              <w:t>5</w:t>
            </w:r>
            <w:r w:rsidR="00C92812" w:rsidRPr="00535099">
              <w:rPr>
                <w:rFonts w:ascii="Calibri" w:hAnsi="Calibri"/>
                <w:color w:val="262626"/>
                <w:sz w:val="20"/>
                <w:szCs w:val="20"/>
                <w:lang w:val="pt-BR"/>
              </w:rPr>
              <w:t>. Consultants/Translation</w:t>
            </w:r>
          </w:p>
          <w:p w:rsidR="00C92812" w:rsidRPr="00535099" w:rsidRDefault="00B11C2F" w:rsidP="00C92812">
            <w:pPr>
              <w:spacing w:after="0"/>
              <w:rPr>
                <w:rFonts w:ascii="Calibri" w:hAnsi="Calibri"/>
                <w:color w:val="262626"/>
                <w:sz w:val="20"/>
                <w:szCs w:val="20"/>
                <w:lang w:val="pt-BR"/>
              </w:rPr>
            </w:pPr>
            <w:r w:rsidRPr="00535099">
              <w:rPr>
                <w:rFonts w:ascii="Calibri" w:hAnsi="Calibri"/>
                <w:color w:val="262626"/>
                <w:sz w:val="20"/>
                <w:szCs w:val="20"/>
                <w:lang w:val="pt-BR"/>
              </w:rPr>
              <w:t>6</w:t>
            </w:r>
            <w:r w:rsidR="00C92812" w:rsidRPr="00535099">
              <w:rPr>
                <w:rFonts w:ascii="Calibri" w:hAnsi="Calibri"/>
                <w:color w:val="262626"/>
                <w:sz w:val="20"/>
                <w:szCs w:val="20"/>
                <w:lang w:val="pt-BR"/>
              </w:rPr>
              <w:t>. Documentary on legal identity</w:t>
            </w:r>
          </w:p>
          <w:p w:rsidR="0085230F" w:rsidRPr="00535099" w:rsidRDefault="00B11C2F" w:rsidP="00C92812">
            <w:pPr>
              <w:spacing w:after="0"/>
              <w:rPr>
                <w:rFonts w:ascii="Calibri" w:hAnsi="Calibri"/>
                <w:color w:val="262626"/>
                <w:sz w:val="20"/>
                <w:szCs w:val="20"/>
                <w:lang w:val="pt-BR"/>
              </w:rPr>
            </w:pPr>
            <w:r w:rsidRPr="00535099">
              <w:rPr>
                <w:rFonts w:ascii="Calibri" w:hAnsi="Calibri"/>
                <w:color w:val="262626"/>
                <w:sz w:val="20"/>
                <w:szCs w:val="20"/>
                <w:lang w:val="pt-BR"/>
              </w:rPr>
              <w:t>7</w:t>
            </w:r>
            <w:r w:rsidR="00C92812" w:rsidRPr="00535099">
              <w:rPr>
                <w:rFonts w:ascii="Calibri" w:hAnsi="Calibri"/>
                <w:color w:val="262626"/>
                <w:sz w:val="20"/>
                <w:szCs w:val="20"/>
                <w:lang w:val="pt-BR"/>
              </w:rPr>
              <w:t>. International  Travel/ Regional events</w:t>
            </w:r>
          </w:p>
          <w:p w:rsidR="00116540" w:rsidRPr="00535099" w:rsidRDefault="00116540" w:rsidP="00C92812">
            <w:pPr>
              <w:spacing w:after="0"/>
              <w:rPr>
                <w:rFonts w:ascii="Calibri" w:hAnsi="Calibri"/>
                <w:color w:val="262626"/>
                <w:sz w:val="20"/>
                <w:szCs w:val="20"/>
                <w:lang w:val="pt-BR"/>
              </w:rPr>
            </w:pPr>
          </w:p>
          <w:p w:rsidR="00116540" w:rsidRPr="00535099" w:rsidRDefault="00116540" w:rsidP="00C92812">
            <w:pPr>
              <w:spacing w:after="0"/>
              <w:rPr>
                <w:rFonts w:ascii="Calibri" w:hAnsi="Calibri"/>
                <w:color w:val="262626"/>
                <w:sz w:val="20"/>
                <w:szCs w:val="20"/>
                <w:lang w:val="pt-BR"/>
              </w:rPr>
            </w:pPr>
            <w:r w:rsidRPr="00535099">
              <w:rPr>
                <w:rFonts w:ascii="Calibri" w:hAnsi="Calibri"/>
                <w:color w:val="262626"/>
                <w:sz w:val="20"/>
                <w:szCs w:val="20"/>
                <w:lang w:val="pt-BR"/>
              </w:rPr>
              <w:t xml:space="preserve">The full Nepal strategy can be found </w:t>
            </w:r>
            <w:hyperlink r:id="rId5" w:history="1">
              <w:r w:rsidRPr="00535099">
                <w:rPr>
                  <w:rStyle w:val="Hyperlink"/>
                  <w:rFonts w:ascii="Calibri" w:hAnsi="Calibri"/>
                  <w:sz w:val="20"/>
                  <w:szCs w:val="20"/>
                  <w:lang w:val="pt-BR"/>
                </w:rPr>
                <w:t>here</w:t>
              </w:r>
            </w:hyperlink>
            <w:r w:rsidRPr="00535099">
              <w:rPr>
                <w:rFonts w:ascii="Calibri" w:hAnsi="Calibri"/>
                <w:color w:val="262626"/>
                <w:sz w:val="20"/>
                <w:szCs w:val="20"/>
                <w:lang w:val="pt-BR"/>
              </w:rPr>
              <w:t>.</w:t>
            </w:r>
          </w:p>
        </w:tc>
      </w:tr>
      <w:tr w:rsidR="0085230F" w:rsidRPr="00B151CB" w:rsidTr="001144F9">
        <w:trPr>
          <w:trHeight w:val="20"/>
        </w:trPr>
        <w:tc>
          <w:tcPr>
            <w:tcW w:w="2448" w:type="dxa"/>
            <w:tcBorders>
              <w:bottom w:val="single" w:sz="8" w:space="0" w:color="auto"/>
            </w:tcBorders>
            <w:shd w:val="clear" w:color="auto" w:fill="auto"/>
            <w:tcMar>
              <w:top w:w="0" w:type="dxa"/>
              <w:left w:w="108" w:type="dxa"/>
              <w:bottom w:w="0" w:type="dxa"/>
              <w:right w:w="108" w:type="dxa"/>
            </w:tcMar>
          </w:tcPr>
          <w:p w:rsidR="0085230F" w:rsidRPr="00535099" w:rsidRDefault="0085230F" w:rsidP="001144F9">
            <w:pPr>
              <w:spacing w:after="0"/>
              <w:rPr>
                <w:b/>
                <w:bCs/>
                <w:color w:val="262626"/>
              </w:rPr>
            </w:pPr>
            <w:r w:rsidRPr="00535099">
              <w:rPr>
                <w:b/>
                <w:bCs/>
                <w:color w:val="262626"/>
              </w:rPr>
              <w:lastRenderedPageBreak/>
              <w:t>Summary for Board Reports (100 words)</w:t>
            </w:r>
          </w:p>
        </w:tc>
        <w:tc>
          <w:tcPr>
            <w:tcW w:w="7148" w:type="dxa"/>
            <w:gridSpan w:val="3"/>
            <w:tcBorders>
              <w:bottom w:val="single" w:sz="8" w:space="0" w:color="auto"/>
            </w:tcBorders>
            <w:shd w:val="clear" w:color="auto" w:fill="auto"/>
            <w:tcMar>
              <w:top w:w="0" w:type="dxa"/>
              <w:left w:w="108" w:type="dxa"/>
              <w:bottom w:w="0" w:type="dxa"/>
              <w:right w:w="108" w:type="dxa"/>
            </w:tcMar>
          </w:tcPr>
          <w:p w:rsidR="0085230F" w:rsidRPr="00535099" w:rsidRDefault="00961565" w:rsidP="00FE2B1E">
            <w:pPr>
              <w:spacing w:before="100" w:beforeAutospacing="1" w:after="100" w:afterAutospacing="1"/>
              <w:rPr>
                <w:rFonts w:ascii="Calibri" w:hAnsi="Calibri"/>
                <w:sz w:val="20"/>
                <w:szCs w:val="20"/>
              </w:rPr>
            </w:pPr>
            <w:r>
              <w:rPr>
                <w:rFonts w:ascii="Calibri" w:hAnsi="Calibri"/>
                <w:color w:val="262626"/>
                <w:sz w:val="20"/>
                <w:szCs w:val="20"/>
                <w:lang w:val="pt-BR"/>
              </w:rPr>
              <w:t>Our 2015</w:t>
            </w:r>
            <w:r w:rsidR="00FE2B1E">
              <w:rPr>
                <w:rFonts w:ascii="Calibri" w:hAnsi="Calibri"/>
                <w:color w:val="262626"/>
                <w:sz w:val="20"/>
                <w:szCs w:val="20"/>
                <w:lang w:val="pt-BR"/>
              </w:rPr>
              <w:t xml:space="preserve"> strategy </w:t>
            </w:r>
            <w:r w:rsidR="00715D26" w:rsidRPr="00715D26">
              <w:rPr>
                <w:rFonts w:ascii="Calibri" w:hAnsi="Calibri"/>
                <w:color w:val="262626"/>
                <w:sz w:val="20"/>
                <w:szCs w:val="20"/>
                <w:lang w:val="pt-BR"/>
              </w:rPr>
              <w:t>focus</w:t>
            </w:r>
            <w:r w:rsidR="00FE2B1E">
              <w:rPr>
                <w:rFonts w:ascii="Calibri" w:hAnsi="Calibri"/>
                <w:color w:val="262626"/>
                <w:sz w:val="20"/>
                <w:szCs w:val="20"/>
                <w:lang w:val="pt-BR"/>
              </w:rPr>
              <w:t>es</w:t>
            </w:r>
            <w:r w:rsidR="00715D26" w:rsidRPr="00715D26">
              <w:rPr>
                <w:rFonts w:ascii="Calibri" w:hAnsi="Calibri"/>
                <w:color w:val="262626"/>
                <w:sz w:val="20"/>
                <w:szCs w:val="20"/>
                <w:lang w:val="pt-BR"/>
              </w:rPr>
              <w:t xml:space="preserve"> on dee</w:t>
            </w:r>
            <w:r w:rsidR="00715D26">
              <w:rPr>
                <w:rFonts w:ascii="Calibri" w:hAnsi="Calibri"/>
                <w:color w:val="262626"/>
                <w:sz w:val="20"/>
                <w:szCs w:val="20"/>
                <w:lang w:val="pt-BR"/>
              </w:rPr>
              <w:t>pening partnerships between CSOs and government</w:t>
            </w:r>
            <w:r w:rsidR="00715D26" w:rsidRPr="00715D26">
              <w:rPr>
                <w:rFonts w:ascii="Calibri" w:hAnsi="Calibri"/>
                <w:color w:val="262626"/>
                <w:sz w:val="20"/>
                <w:szCs w:val="20"/>
                <w:lang w:val="pt-BR"/>
              </w:rPr>
              <w:t xml:space="preserve"> on justice themes</w:t>
            </w:r>
            <w:r w:rsidR="00FE2B1E">
              <w:rPr>
                <w:rFonts w:ascii="Calibri" w:hAnsi="Calibri"/>
                <w:color w:val="262626"/>
                <w:sz w:val="20"/>
                <w:szCs w:val="20"/>
                <w:lang w:val="pt-BR"/>
              </w:rPr>
              <w:t xml:space="preserve"> through </w:t>
            </w:r>
            <w:r w:rsidR="00715D26" w:rsidRPr="00715D26">
              <w:rPr>
                <w:rFonts w:ascii="Calibri" w:hAnsi="Calibri"/>
                <w:color w:val="262626"/>
                <w:sz w:val="20"/>
                <w:szCs w:val="20"/>
                <w:lang w:val="pt-BR"/>
              </w:rPr>
              <w:t>consultations that provide opportunities for</w:t>
            </w:r>
            <w:r>
              <w:rPr>
                <w:rFonts w:ascii="Calibri" w:hAnsi="Calibri"/>
                <w:color w:val="262626"/>
                <w:sz w:val="20"/>
                <w:szCs w:val="20"/>
                <w:lang w:val="pt-BR"/>
              </w:rPr>
              <w:t xml:space="preserve"> state and civil society</w:t>
            </w:r>
            <w:r w:rsidR="00715D26" w:rsidRPr="00715D26">
              <w:rPr>
                <w:rFonts w:ascii="Calibri" w:hAnsi="Calibri"/>
                <w:color w:val="262626"/>
                <w:sz w:val="20"/>
                <w:szCs w:val="20"/>
                <w:lang w:val="pt-BR"/>
              </w:rPr>
              <w:t xml:space="preserve"> representatives to discuss good practices and usefu</w:t>
            </w:r>
            <w:r>
              <w:rPr>
                <w:rFonts w:ascii="Calibri" w:hAnsi="Calibri"/>
                <w:color w:val="262626"/>
                <w:sz w:val="20"/>
                <w:szCs w:val="20"/>
                <w:lang w:val="pt-BR"/>
              </w:rPr>
              <w:t xml:space="preserve">l strategies on the ground and </w:t>
            </w:r>
            <w:r w:rsidR="00715D26" w:rsidRPr="00715D26">
              <w:rPr>
                <w:rFonts w:ascii="Calibri" w:hAnsi="Calibri"/>
                <w:color w:val="262626"/>
                <w:sz w:val="20"/>
                <w:szCs w:val="20"/>
                <w:lang w:val="pt-BR"/>
              </w:rPr>
              <w:t>help move forward discussions around the ‘means of implementation’ for j</w:t>
            </w:r>
            <w:r w:rsidR="00FE2B1E">
              <w:rPr>
                <w:rFonts w:ascii="Calibri" w:hAnsi="Calibri"/>
                <w:color w:val="262626"/>
                <w:sz w:val="20"/>
                <w:szCs w:val="20"/>
                <w:lang w:val="pt-BR"/>
              </w:rPr>
              <w:t>ustice targets with a</w:t>
            </w:r>
            <w:r w:rsidR="00715D26" w:rsidRPr="00715D26">
              <w:rPr>
                <w:rFonts w:ascii="Calibri" w:hAnsi="Calibri"/>
                <w:color w:val="262626"/>
                <w:sz w:val="20"/>
                <w:szCs w:val="20"/>
                <w:lang w:val="pt-BR"/>
              </w:rPr>
              <w:t xml:space="preserve"> focus on </w:t>
            </w:r>
            <w:r w:rsidR="00FE2B1E">
              <w:rPr>
                <w:rFonts w:ascii="Calibri" w:hAnsi="Calibri"/>
                <w:color w:val="262626"/>
                <w:sz w:val="20"/>
                <w:szCs w:val="20"/>
                <w:lang w:val="pt-BR"/>
              </w:rPr>
              <w:t xml:space="preserve">the </w:t>
            </w:r>
            <w:r w:rsidR="00715D26" w:rsidRPr="00715D26">
              <w:rPr>
                <w:rFonts w:ascii="Calibri" w:hAnsi="Calibri"/>
                <w:color w:val="262626"/>
                <w:sz w:val="20"/>
                <w:szCs w:val="20"/>
                <w:lang w:val="pt-BR"/>
              </w:rPr>
              <w:t xml:space="preserve">legal empowerment approach to universal legal identity.  We </w:t>
            </w:r>
            <w:r>
              <w:rPr>
                <w:rFonts w:ascii="Calibri" w:hAnsi="Calibri"/>
                <w:color w:val="262626"/>
                <w:sz w:val="20"/>
                <w:szCs w:val="20"/>
                <w:lang w:val="pt-BR"/>
              </w:rPr>
              <w:t xml:space="preserve">will bring </w:t>
            </w:r>
            <w:r w:rsidR="00FE2B1E">
              <w:rPr>
                <w:rFonts w:ascii="Calibri" w:hAnsi="Calibri"/>
                <w:color w:val="262626"/>
                <w:sz w:val="20"/>
                <w:szCs w:val="20"/>
                <w:lang w:val="pt-BR"/>
              </w:rPr>
              <w:t>relevant</w:t>
            </w:r>
            <w:r>
              <w:rPr>
                <w:rFonts w:ascii="Calibri" w:hAnsi="Calibri"/>
                <w:color w:val="262626"/>
                <w:sz w:val="20"/>
                <w:szCs w:val="20"/>
                <w:lang w:val="pt-BR"/>
              </w:rPr>
              <w:t xml:space="preserve"> p</w:t>
            </w:r>
            <w:r w:rsidR="00715D26" w:rsidRPr="00715D26">
              <w:rPr>
                <w:rFonts w:ascii="Calibri" w:hAnsi="Calibri"/>
                <w:color w:val="262626"/>
                <w:sz w:val="20"/>
                <w:szCs w:val="20"/>
                <w:lang w:val="pt-BR"/>
              </w:rPr>
              <w:t xml:space="preserve">ractitioners together to </w:t>
            </w:r>
            <w:r w:rsidR="00FE2B1E">
              <w:rPr>
                <w:rFonts w:ascii="Calibri" w:hAnsi="Calibri"/>
                <w:color w:val="262626"/>
                <w:sz w:val="20"/>
                <w:szCs w:val="20"/>
                <w:lang w:val="pt-BR"/>
              </w:rPr>
              <w:t>discuss the</w:t>
            </w:r>
            <w:r w:rsidR="00715D26" w:rsidRPr="00715D26">
              <w:rPr>
                <w:rFonts w:ascii="Calibri" w:hAnsi="Calibri"/>
                <w:color w:val="262626"/>
                <w:sz w:val="20"/>
                <w:szCs w:val="20"/>
                <w:lang w:val="pt-BR"/>
              </w:rPr>
              <w:t xml:space="preserve"> economic and social impact of legal </w:t>
            </w:r>
            <w:r w:rsidR="00FE2B1E">
              <w:rPr>
                <w:rFonts w:ascii="Calibri" w:hAnsi="Calibri"/>
                <w:color w:val="262626"/>
                <w:sz w:val="20"/>
                <w:szCs w:val="20"/>
                <w:lang w:val="pt-BR"/>
              </w:rPr>
              <w:t>identity documents and assist in developing</w:t>
            </w:r>
            <w:r w:rsidR="00715D26" w:rsidRPr="00715D26">
              <w:rPr>
                <w:rFonts w:ascii="Calibri" w:hAnsi="Calibri"/>
                <w:color w:val="262626"/>
                <w:sz w:val="20"/>
                <w:szCs w:val="20"/>
                <w:lang w:val="pt-BR"/>
              </w:rPr>
              <w:t xml:space="preserve"> policy drivers and benchmarks with key stakeholders to leverage existing and new resources for necessary </w:t>
            </w:r>
            <w:r w:rsidR="00FE2B1E">
              <w:rPr>
                <w:rFonts w:ascii="Calibri" w:hAnsi="Calibri"/>
                <w:color w:val="262626"/>
                <w:sz w:val="20"/>
                <w:szCs w:val="20"/>
                <w:lang w:val="pt-BR"/>
              </w:rPr>
              <w:t xml:space="preserve">partnerships and activities. Progress on the ground and findings from the baseline study will be used for advocacy in New York. </w:t>
            </w:r>
          </w:p>
        </w:tc>
      </w:tr>
      <w:tr w:rsidR="0085230F" w:rsidRPr="00B151CB" w:rsidTr="001144F9">
        <w:trPr>
          <w:trHeight w:val="20"/>
        </w:trPr>
        <w:tc>
          <w:tcPr>
            <w:tcW w:w="2448" w:type="dxa"/>
            <w:tcBorders>
              <w:bottom w:val="single" w:sz="8" w:space="0" w:color="auto"/>
            </w:tcBorders>
            <w:shd w:val="clear" w:color="auto" w:fill="auto"/>
            <w:tcMar>
              <w:top w:w="0" w:type="dxa"/>
              <w:left w:w="108" w:type="dxa"/>
              <w:bottom w:w="0" w:type="dxa"/>
              <w:right w:w="108" w:type="dxa"/>
            </w:tcMar>
          </w:tcPr>
          <w:p w:rsidR="0085230F" w:rsidRPr="00535099" w:rsidRDefault="0085230F" w:rsidP="001144F9">
            <w:pPr>
              <w:spacing w:after="0"/>
              <w:rPr>
                <w:b/>
                <w:bCs/>
                <w:color w:val="262626"/>
              </w:rPr>
            </w:pPr>
            <w:r w:rsidRPr="00535099">
              <w:rPr>
                <w:b/>
                <w:bCs/>
                <w:color w:val="262626"/>
              </w:rPr>
              <w:t>Collaborating Programs within OSF and essential partners or grantees</w:t>
            </w:r>
          </w:p>
        </w:tc>
        <w:tc>
          <w:tcPr>
            <w:tcW w:w="7148" w:type="dxa"/>
            <w:gridSpan w:val="3"/>
            <w:tcBorders>
              <w:bottom w:val="single" w:sz="8" w:space="0" w:color="auto"/>
            </w:tcBorders>
            <w:shd w:val="clear" w:color="auto" w:fill="auto"/>
            <w:tcMar>
              <w:top w:w="0" w:type="dxa"/>
              <w:left w:w="108" w:type="dxa"/>
              <w:bottom w:w="0" w:type="dxa"/>
              <w:right w:w="108" w:type="dxa"/>
            </w:tcMar>
          </w:tcPr>
          <w:p w:rsidR="0085230F" w:rsidRPr="00535099" w:rsidRDefault="00C92812" w:rsidP="001144F9">
            <w:pPr>
              <w:spacing w:after="0"/>
              <w:rPr>
                <w:rFonts w:ascii="Calibri" w:hAnsi="Calibri"/>
                <w:sz w:val="20"/>
                <w:szCs w:val="20"/>
              </w:rPr>
            </w:pPr>
            <w:r w:rsidRPr="00535099">
              <w:rPr>
                <w:rFonts w:ascii="Calibri" w:hAnsi="Calibri"/>
                <w:sz w:val="20"/>
                <w:szCs w:val="20"/>
              </w:rPr>
              <w:t>Alliance for Social Dialogue (ASD), Open Society Justice Initiative (OSJI)</w:t>
            </w:r>
            <w:r w:rsidR="0095575E" w:rsidRPr="00535099">
              <w:rPr>
                <w:rFonts w:ascii="Calibri" w:hAnsi="Calibri"/>
                <w:sz w:val="20"/>
                <w:szCs w:val="20"/>
              </w:rPr>
              <w:t>, Human Rights Initiative (HRI)</w:t>
            </w:r>
          </w:p>
        </w:tc>
      </w:tr>
      <w:tr w:rsidR="0085230F" w:rsidRPr="00B151CB" w:rsidTr="001144F9">
        <w:trPr>
          <w:trHeight w:val="20"/>
        </w:trPr>
        <w:tc>
          <w:tcPr>
            <w:tcW w:w="2448" w:type="dxa"/>
            <w:tcBorders>
              <w:bottom w:val="single" w:sz="8" w:space="0" w:color="auto"/>
            </w:tcBorders>
            <w:shd w:val="clear" w:color="auto" w:fill="auto"/>
            <w:tcMar>
              <w:top w:w="0" w:type="dxa"/>
              <w:left w:w="108" w:type="dxa"/>
              <w:bottom w:w="0" w:type="dxa"/>
              <w:right w:w="108" w:type="dxa"/>
            </w:tcMar>
          </w:tcPr>
          <w:p w:rsidR="0085230F" w:rsidRPr="00961565" w:rsidRDefault="0085230F" w:rsidP="001144F9">
            <w:pPr>
              <w:spacing w:after="0"/>
              <w:rPr>
                <w:b/>
                <w:bCs/>
                <w:color w:val="262626"/>
              </w:rPr>
            </w:pPr>
            <w:r w:rsidRPr="00961565">
              <w:rPr>
                <w:b/>
                <w:bCs/>
                <w:color w:val="262626"/>
              </w:rPr>
              <w:t>Contributions expected from Collaborating Programs (250 words)</w:t>
            </w:r>
          </w:p>
        </w:tc>
        <w:tc>
          <w:tcPr>
            <w:tcW w:w="7148" w:type="dxa"/>
            <w:gridSpan w:val="3"/>
            <w:tcBorders>
              <w:bottom w:val="single" w:sz="8" w:space="0" w:color="auto"/>
            </w:tcBorders>
            <w:shd w:val="clear" w:color="auto" w:fill="auto"/>
            <w:tcMar>
              <w:top w:w="0" w:type="dxa"/>
              <w:left w:w="108" w:type="dxa"/>
              <w:bottom w:w="0" w:type="dxa"/>
              <w:right w:w="108" w:type="dxa"/>
            </w:tcMar>
          </w:tcPr>
          <w:p w:rsidR="00961565" w:rsidRPr="00961565" w:rsidRDefault="00961565" w:rsidP="00961565">
            <w:pPr>
              <w:jc w:val="both"/>
              <w:rPr>
                <w:rFonts w:ascii="Calibri" w:hAnsi="Calibri"/>
                <w:sz w:val="20"/>
                <w:szCs w:val="20"/>
              </w:rPr>
            </w:pPr>
            <w:r w:rsidRPr="00961565">
              <w:rPr>
                <w:rFonts w:ascii="Calibri" w:hAnsi="Calibri"/>
                <w:sz w:val="20"/>
                <w:szCs w:val="20"/>
              </w:rPr>
              <w:t>OSJI will provide operational and technical support in the development and implementation of the joint strategy. OSJI will contribute 22500 USD towards the impact assessment studies, convening in NY and development of the paralegal curriculum.</w:t>
            </w:r>
          </w:p>
          <w:p w:rsidR="00961565" w:rsidRPr="00961565" w:rsidRDefault="00961565" w:rsidP="00961565">
            <w:pPr>
              <w:jc w:val="both"/>
              <w:rPr>
                <w:rFonts w:ascii="Calibri" w:hAnsi="Calibri"/>
                <w:sz w:val="20"/>
                <w:szCs w:val="20"/>
              </w:rPr>
            </w:pPr>
            <w:r w:rsidRPr="00961565">
              <w:rPr>
                <w:rFonts w:ascii="Calibri" w:hAnsi="Calibri"/>
                <w:sz w:val="20"/>
                <w:szCs w:val="20"/>
              </w:rPr>
              <w:t>HRI will potentially contribute 10,000</w:t>
            </w:r>
            <w:r>
              <w:rPr>
                <w:rFonts w:ascii="Calibri" w:hAnsi="Calibri"/>
                <w:sz w:val="20"/>
                <w:szCs w:val="20"/>
              </w:rPr>
              <w:t xml:space="preserve"> </w:t>
            </w:r>
            <w:r w:rsidRPr="00961565">
              <w:rPr>
                <w:rFonts w:ascii="Calibri" w:hAnsi="Calibri"/>
                <w:sz w:val="20"/>
                <w:szCs w:val="20"/>
              </w:rPr>
              <w:t>USD towards the demonstration project on legal identity that focus</w:t>
            </w:r>
            <w:r>
              <w:rPr>
                <w:rFonts w:ascii="Calibri" w:hAnsi="Calibri"/>
                <w:sz w:val="20"/>
                <w:szCs w:val="20"/>
              </w:rPr>
              <w:t>es</w:t>
            </w:r>
            <w:r w:rsidRPr="00961565">
              <w:rPr>
                <w:rFonts w:ascii="Calibri" w:hAnsi="Calibri"/>
                <w:sz w:val="20"/>
                <w:szCs w:val="20"/>
              </w:rPr>
              <w:t xml:space="preserve"> on women from marginalized groups.</w:t>
            </w:r>
          </w:p>
          <w:p w:rsidR="0085230F" w:rsidRPr="00961565" w:rsidRDefault="00961565" w:rsidP="00961565">
            <w:pPr>
              <w:spacing w:after="0"/>
              <w:rPr>
                <w:rFonts w:ascii="Calibri" w:hAnsi="Calibri"/>
                <w:sz w:val="20"/>
                <w:szCs w:val="20"/>
              </w:rPr>
            </w:pPr>
            <w:r w:rsidRPr="00961565">
              <w:rPr>
                <w:rFonts w:ascii="Calibri" w:hAnsi="Calibri"/>
                <w:sz w:val="20"/>
                <w:szCs w:val="20"/>
              </w:rPr>
              <w:t>ASD will lead the work nationally and contribute 36500 USD towards the implementation of the strategy.</w:t>
            </w:r>
            <w:r>
              <w:rPr>
                <w:rFonts w:ascii="Calibri" w:hAnsi="Calibri"/>
                <w:sz w:val="20"/>
                <w:szCs w:val="20"/>
              </w:rPr>
              <w:t xml:space="preserve"> </w:t>
            </w:r>
            <w:r w:rsidRPr="00961565">
              <w:rPr>
                <w:rFonts w:ascii="Calibri" w:hAnsi="Calibri"/>
                <w:sz w:val="20"/>
                <w:szCs w:val="20"/>
              </w:rPr>
              <w:t>The contribution will support national consultations (from ASD Human Rights and Women's Rights Program) and towards grants. For the documentary part also, collaborative approach is expected from ASD's women's rights program.</w:t>
            </w:r>
          </w:p>
        </w:tc>
      </w:tr>
      <w:tr w:rsidR="0085230F" w:rsidRPr="00B151CB" w:rsidTr="001144F9">
        <w:trPr>
          <w:trHeight w:val="20"/>
        </w:trPr>
        <w:tc>
          <w:tcPr>
            <w:tcW w:w="2448" w:type="dxa"/>
            <w:tcBorders>
              <w:bottom w:val="single" w:sz="8" w:space="0" w:color="auto"/>
            </w:tcBorders>
            <w:shd w:val="clear" w:color="auto" w:fill="auto"/>
            <w:tcMar>
              <w:top w:w="0" w:type="dxa"/>
              <w:left w:w="108" w:type="dxa"/>
              <w:bottom w:w="0" w:type="dxa"/>
              <w:right w:w="108" w:type="dxa"/>
            </w:tcMar>
          </w:tcPr>
          <w:p w:rsidR="0085230F" w:rsidRPr="00535099" w:rsidRDefault="0085230F" w:rsidP="001144F9">
            <w:pPr>
              <w:spacing w:after="0"/>
              <w:rPr>
                <w:b/>
                <w:bCs/>
                <w:color w:val="262626"/>
              </w:rPr>
            </w:pPr>
            <w:r w:rsidRPr="00961565">
              <w:rPr>
                <w:b/>
                <w:bCs/>
                <w:color w:val="262626"/>
              </w:rPr>
              <w:t>Statement of who within OSF would guide the work</w:t>
            </w:r>
          </w:p>
        </w:tc>
        <w:tc>
          <w:tcPr>
            <w:tcW w:w="7148" w:type="dxa"/>
            <w:gridSpan w:val="3"/>
            <w:tcBorders>
              <w:bottom w:val="single" w:sz="8" w:space="0" w:color="auto"/>
            </w:tcBorders>
            <w:shd w:val="clear" w:color="auto" w:fill="auto"/>
            <w:tcMar>
              <w:top w:w="0" w:type="dxa"/>
              <w:left w:w="108" w:type="dxa"/>
              <w:bottom w:w="0" w:type="dxa"/>
              <w:right w:w="108" w:type="dxa"/>
            </w:tcMar>
          </w:tcPr>
          <w:p w:rsidR="0085230F" w:rsidRPr="00535099" w:rsidRDefault="00961565" w:rsidP="001144F9">
            <w:pPr>
              <w:spacing w:after="0"/>
              <w:rPr>
                <w:rFonts w:ascii="Calibri" w:hAnsi="Calibri"/>
                <w:sz w:val="20"/>
                <w:szCs w:val="20"/>
              </w:rPr>
            </w:pPr>
            <w:r w:rsidRPr="00961565">
              <w:rPr>
                <w:rFonts w:ascii="Calibri" w:hAnsi="Calibri"/>
                <w:sz w:val="20"/>
                <w:szCs w:val="20"/>
              </w:rPr>
              <w:t xml:space="preserve">Hari Sharma, (ED, ASD) and Sumaiya Islam (Program Manager, JI) will co-lead including development of the shared strategies, projects etc. </w:t>
            </w:r>
            <w:proofErr w:type="spellStart"/>
            <w:r w:rsidRPr="00961565">
              <w:rPr>
                <w:rFonts w:ascii="Calibri" w:hAnsi="Calibri"/>
                <w:sz w:val="20"/>
                <w:szCs w:val="20"/>
              </w:rPr>
              <w:t>Neetu</w:t>
            </w:r>
            <w:proofErr w:type="spellEnd"/>
            <w:r w:rsidRPr="00961565">
              <w:rPr>
                <w:rFonts w:ascii="Calibri" w:hAnsi="Calibri"/>
                <w:sz w:val="20"/>
                <w:szCs w:val="20"/>
              </w:rPr>
              <w:t xml:space="preserve"> </w:t>
            </w:r>
            <w:proofErr w:type="spellStart"/>
            <w:r w:rsidRPr="00961565">
              <w:rPr>
                <w:rFonts w:ascii="Calibri" w:hAnsi="Calibri"/>
                <w:sz w:val="20"/>
                <w:szCs w:val="20"/>
              </w:rPr>
              <w:t>Pokharel</w:t>
            </w:r>
            <w:proofErr w:type="spellEnd"/>
            <w:r w:rsidRPr="00961565">
              <w:rPr>
                <w:rFonts w:ascii="Calibri" w:hAnsi="Calibri"/>
                <w:sz w:val="20"/>
                <w:szCs w:val="20"/>
              </w:rPr>
              <w:t xml:space="preserve"> will lead the implementation of the framework at the national level with </w:t>
            </w:r>
            <w:r>
              <w:rPr>
                <w:rFonts w:ascii="Calibri" w:hAnsi="Calibri"/>
                <w:sz w:val="20"/>
                <w:szCs w:val="20"/>
              </w:rPr>
              <w:t>strategic guidance from ASD ED,</w:t>
            </w:r>
            <w:r w:rsidR="00CE469B">
              <w:rPr>
                <w:rFonts w:ascii="Calibri" w:hAnsi="Calibri"/>
                <w:sz w:val="20"/>
                <w:szCs w:val="20"/>
              </w:rPr>
              <w:t xml:space="preserve"> chair </w:t>
            </w:r>
            <w:r w:rsidRPr="00961565">
              <w:rPr>
                <w:rFonts w:ascii="Calibri" w:hAnsi="Calibri"/>
                <w:sz w:val="20"/>
                <w:szCs w:val="20"/>
              </w:rPr>
              <w:t>and JI.</w:t>
            </w:r>
            <w:r>
              <w:rPr>
                <w:rFonts w:ascii="Calibri" w:hAnsi="Calibri"/>
                <w:sz w:val="20"/>
                <w:szCs w:val="20"/>
              </w:rPr>
              <w:t xml:space="preserve"> Leah Wissow will provide support as the shared framework senior program coordinator.</w:t>
            </w:r>
          </w:p>
        </w:tc>
      </w:tr>
      <w:tr w:rsidR="0085230F" w:rsidRPr="00B151CB" w:rsidTr="001144F9">
        <w:trPr>
          <w:trHeight w:val="169"/>
        </w:trPr>
        <w:tc>
          <w:tcPr>
            <w:tcW w:w="2448" w:type="dxa"/>
            <w:tcBorders>
              <w:left w:val="nil"/>
              <w:right w:val="nil"/>
            </w:tcBorders>
            <w:shd w:val="clear" w:color="auto" w:fill="auto"/>
            <w:tcMar>
              <w:top w:w="0" w:type="dxa"/>
              <w:left w:w="108" w:type="dxa"/>
              <w:bottom w:w="0" w:type="dxa"/>
              <w:right w:w="108" w:type="dxa"/>
            </w:tcMar>
          </w:tcPr>
          <w:p w:rsidR="0085230F" w:rsidRPr="00535099" w:rsidRDefault="0085230F" w:rsidP="001144F9">
            <w:pPr>
              <w:spacing w:after="0"/>
              <w:rPr>
                <w:b/>
                <w:bCs/>
                <w:color w:val="262626"/>
              </w:rPr>
            </w:pPr>
          </w:p>
        </w:tc>
        <w:tc>
          <w:tcPr>
            <w:tcW w:w="7148" w:type="dxa"/>
            <w:gridSpan w:val="3"/>
            <w:tcBorders>
              <w:left w:val="nil"/>
              <w:right w:val="nil"/>
            </w:tcBorders>
            <w:shd w:val="clear" w:color="auto" w:fill="auto"/>
            <w:tcMar>
              <w:top w:w="0" w:type="dxa"/>
              <w:left w:w="108" w:type="dxa"/>
              <w:bottom w:w="0" w:type="dxa"/>
              <w:right w:w="108" w:type="dxa"/>
            </w:tcMar>
          </w:tcPr>
          <w:p w:rsidR="0085230F" w:rsidRPr="00535099" w:rsidRDefault="0085230F" w:rsidP="001144F9">
            <w:pPr>
              <w:spacing w:after="0"/>
              <w:rPr>
                <w:rFonts w:ascii="Calibri" w:hAnsi="Calibri"/>
                <w:sz w:val="20"/>
                <w:szCs w:val="20"/>
              </w:rPr>
            </w:pPr>
          </w:p>
        </w:tc>
      </w:tr>
      <w:tr w:rsidR="0085230F" w:rsidRPr="00B151CB" w:rsidTr="001144F9">
        <w:trPr>
          <w:trHeight w:val="229"/>
        </w:trPr>
        <w:tc>
          <w:tcPr>
            <w:tcW w:w="2448" w:type="dxa"/>
            <w:vMerge w:val="restart"/>
            <w:shd w:val="clear" w:color="auto" w:fill="auto"/>
            <w:tcMar>
              <w:top w:w="0" w:type="dxa"/>
              <w:left w:w="108" w:type="dxa"/>
              <w:bottom w:w="0" w:type="dxa"/>
              <w:right w:w="108" w:type="dxa"/>
            </w:tcMar>
            <w:hideMark/>
          </w:tcPr>
          <w:p w:rsidR="0085230F" w:rsidRPr="00535099" w:rsidRDefault="0085230F" w:rsidP="001144F9">
            <w:pPr>
              <w:spacing w:after="0"/>
              <w:rPr>
                <w:b/>
                <w:bCs/>
                <w:color w:val="262626"/>
              </w:rPr>
            </w:pPr>
            <w:r w:rsidRPr="00535099">
              <w:rPr>
                <w:b/>
                <w:bCs/>
                <w:color w:val="262626"/>
              </w:rPr>
              <w:t>Approver (Lead)</w:t>
            </w:r>
          </w:p>
          <w:p w:rsidR="0085230F" w:rsidRPr="00535099" w:rsidRDefault="0085230F" w:rsidP="001144F9">
            <w:pPr>
              <w:spacing w:after="0"/>
              <w:rPr>
                <w:bCs/>
                <w:i/>
                <w:color w:val="262626"/>
              </w:rPr>
            </w:pPr>
            <w:r w:rsidRPr="00535099">
              <w:rPr>
                <w:bCs/>
                <w:i/>
                <w:color w:val="262626"/>
              </w:rPr>
              <w:t xml:space="preserve">(See list on </w:t>
            </w:r>
            <w:hyperlink r:id="rId6" w:history="1">
              <w:r w:rsidRPr="00535099">
                <w:rPr>
                  <w:rStyle w:val="Hyperlink"/>
                  <w:bCs/>
                  <w:i/>
                </w:rPr>
                <w:t>Reserve Funds KARL</w:t>
              </w:r>
            </w:hyperlink>
            <w:r w:rsidRPr="00535099">
              <w:rPr>
                <w:bCs/>
                <w:i/>
                <w:color w:val="262626"/>
              </w:rPr>
              <w:t>)</w:t>
            </w:r>
          </w:p>
        </w:tc>
        <w:tc>
          <w:tcPr>
            <w:tcW w:w="1525" w:type="dxa"/>
            <w:shd w:val="clear" w:color="auto" w:fill="auto"/>
            <w:tcMar>
              <w:top w:w="0" w:type="dxa"/>
              <w:left w:w="108" w:type="dxa"/>
              <w:bottom w:w="0" w:type="dxa"/>
              <w:right w:w="108" w:type="dxa"/>
            </w:tcMar>
          </w:tcPr>
          <w:p w:rsidR="0085230F" w:rsidRPr="00535099" w:rsidRDefault="0085230F" w:rsidP="001144F9">
            <w:pPr>
              <w:spacing w:after="0"/>
              <w:rPr>
                <w:rFonts w:ascii="Calibri" w:hAnsi="Calibri"/>
                <w:color w:val="262626"/>
                <w:sz w:val="20"/>
                <w:szCs w:val="20"/>
              </w:rPr>
            </w:pPr>
            <w:r w:rsidRPr="00535099">
              <w:rPr>
                <w:rFonts w:ascii="Calibri" w:hAnsi="Calibri"/>
                <w:color w:val="262626"/>
                <w:sz w:val="20"/>
                <w:szCs w:val="20"/>
              </w:rPr>
              <w:t>Name</w:t>
            </w:r>
          </w:p>
        </w:tc>
        <w:tc>
          <w:tcPr>
            <w:tcW w:w="5623" w:type="dxa"/>
            <w:gridSpan w:val="2"/>
            <w:shd w:val="clear" w:color="auto" w:fill="auto"/>
          </w:tcPr>
          <w:p w:rsidR="0085230F" w:rsidRPr="00535099" w:rsidRDefault="0095575E" w:rsidP="001144F9">
            <w:pPr>
              <w:spacing w:after="0"/>
              <w:rPr>
                <w:rFonts w:ascii="Calibri" w:hAnsi="Calibri"/>
                <w:color w:val="262626"/>
                <w:sz w:val="20"/>
                <w:szCs w:val="20"/>
              </w:rPr>
            </w:pPr>
            <w:r w:rsidRPr="00535099">
              <w:rPr>
                <w:rFonts w:ascii="Calibri" w:hAnsi="Calibri"/>
                <w:color w:val="262626"/>
                <w:sz w:val="20"/>
                <w:szCs w:val="20"/>
              </w:rPr>
              <w:t>Pedro Abramovay</w:t>
            </w:r>
          </w:p>
        </w:tc>
      </w:tr>
      <w:tr w:rsidR="0085230F" w:rsidRPr="00B151CB" w:rsidTr="001144F9">
        <w:trPr>
          <w:trHeight w:val="273"/>
        </w:trPr>
        <w:tc>
          <w:tcPr>
            <w:tcW w:w="2448" w:type="dxa"/>
            <w:vMerge/>
            <w:shd w:val="clear" w:color="auto" w:fill="auto"/>
            <w:tcMar>
              <w:top w:w="0" w:type="dxa"/>
              <w:left w:w="108" w:type="dxa"/>
              <w:bottom w:w="0" w:type="dxa"/>
              <w:right w:w="108" w:type="dxa"/>
            </w:tcMar>
          </w:tcPr>
          <w:p w:rsidR="0085230F" w:rsidRPr="00535099" w:rsidRDefault="0085230F" w:rsidP="001144F9">
            <w:pPr>
              <w:spacing w:after="0"/>
              <w:rPr>
                <w:b/>
                <w:bCs/>
                <w:color w:val="262626"/>
              </w:rPr>
            </w:pPr>
          </w:p>
        </w:tc>
        <w:tc>
          <w:tcPr>
            <w:tcW w:w="1525" w:type="dxa"/>
            <w:shd w:val="clear" w:color="auto" w:fill="auto"/>
            <w:tcMar>
              <w:top w:w="0" w:type="dxa"/>
              <w:left w:w="108" w:type="dxa"/>
              <w:bottom w:w="0" w:type="dxa"/>
              <w:right w:w="108" w:type="dxa"/>
            </w:tcMar>
          </w:tcPr>
          <w:p w:rsidR="0085230F" w:rsidRPr="00535099" w:rsidRDefault="0085230F" w:rsidP="001144F9">
            <w:pPr>
              <w:spacing w:after="0"/>
              <w:rPr>
                <w:rFonts w:ascii="Calibri" w:hAnsi="Calibri"/>
                <w:color w:val="262626"/>
                <w:sz w:val="20"/>
                <w:szCs w:val="20"/>
              </w:rPr>
            </w:pPr>
            <w:r w:rsidRPr="00535099">
              <w:rPr>
                <w:rFonts w:ascii="Calibri" w:hAnsi="Calibri"/>
                <w:color w:val="262626"/>
                <w:sz w:val="20"/>
                <w:szCs w:val="20"/>
              </w:rPr>
              <w:t>Date Approved</w:t>
            </w:r>
          </w:p>
        </w:tc>
        <w:tc>
          <w:tcPr>
            <w:tcW w:w="5623" w:type="dxa"/>
            <w:gridSpan w:val="2"/>
            <w:shd w:val="clear" w:color="auto" w:fill="auto"/>
          </w:tcPr>
          <w:p w:rsidR="0085230F" w:rsidRPr="00535099" w:rsidRDefault="00961565" w:rsidP="001144F9">
            <w:pPr>
              <w:spacing w:after="0"/>
              <w:rPr>
                <w:rFonts w:ascii="Calibri" w:hAnsi="Calibri"/>
                <w:color w:val="262626"/>
                <w:sz w:val="20"/>
                <w:szCs w:val="20"/>
              </w:rPr>
            </w:pPr>
            <w:r>
              <w:rPr>
                <w:rFonts w:ascii="Calibri" w:hAnsi="Calibri"/>
                <w:color w:val="262626"/>
                <w:sz w:val="20"/>
                <w:szCs w:val="20"/>
              </w:rPr>
              <w:t>14 July 2015</w:t>
            </w:r>
          </w:p>
        </w:tc>
      </w:tr>
      <w:tr w:rsidR="0085230F" w:rsidRPr="00B151CB" w:rsidTr="001144F9">
        <w:tblPrEx>
          <w:shd w:val="clear" w:color="auto" w:fill="CCFFCC"/>
        </w:tblPrEx>
        <w:trPr>
          <w:trHeight w:val="1241"/>
        </w:trPr>
        <w:tc>
          <w:tcPr>
            <w:tcW w:w="2448" w:type="dxa"/>
            <w:shd w:val="clear" w:color="auto" w:fill="CCFFCC"/>
            <w:tcMar>
              <w:top w:w="0" w:type="dxa"/>
              <w:left w:w="108" w:type="dxa"/>
              <w:bottom w:w="0" w:type="dxa"/>
              <w:right w:w="108" w:type="dxa"/>
            </w:tcMar>
            <w:hideMark/>
          </w:tcPr>
          <w:p w:rsidR="0085230F" w:rsidRPr="00535099" w:rsidRDefault="0085230F" w:rsidP="001144F9">
            <w:pPr>
              <w:spacing w:after="0"/>
              <w:rPr>
                <w:b/>
                <w:bCs/>
                <w:color w:val="262626"/>
              </w:rPr>
            </w:pPr>
            <w:r w:rsidRPr="00535099">
              <w:rPr>
                <w:b/>
                <w:bCs/>
                <w:color w:val="262626"/>
              </w:rPr>
              <w:lastRenderedPageBreak/>
              <w:t>Approver (Lead) Notes / Comments (Optional)</w:t>
            </w:r>
          </w:p>
          <w:p w:rsidR="0085230F" w:rsidRPr="00535099" w:rsidRDefault="0085230F" w:rsidP="001144F9">
            <w:pPr>
              <w:spacing w:after="0"/>
              <w:rPr>
                <w:rFonts w:ascii="Calibri" w:hAnsi="Calibri"/>
                <w:b/>
                <w:bCs/>
                <w:color w:val="262626"/>
              </w:rPr>
            </w:pPr>
            <w:r w:rsidRPr="00535099">
              <w:rPr>
                <w:bCs/>
                <w:i/>
                <w:color w:val="262626"/>
              </w:rPr>
              <w:t xml:space="preserve">(To be completed by </w:t>
            </w:r>
            <w:r w:rsidRPr="00535099">
              <w:rPr>
                <w:bCs/>
                <w:i/>
                <w:color w:val="262626"/>
                <w:u w:val="single"/>
              </w:rPr>
              <w:t>approver only</w:t>
            </w:r>
            <w:r w:rsidRPr="00535099">
              <w:rPr>
                <w:bCs/>
                <w:i/>
                <w:color w:val="262626"/>
              </w:rPr>
              <w:t>)</w:t>
            </w:r>
          </w:p>
        </w:tc>
        <w:tc>
          <w:tcPr>
            <w:tcW w:w="7148" w:type="dxa"/>
            <w:gridSpan w:val="3"/>
            <w:shd w:val="clear" w:color="auto" w:fill="CCFFCC"/>
            <w:tcMar>
              <w:top w:w="0" w:type="dxa"/>
              <w:left w:w="108" w:type="dxa"/>
              <w:bottom w:w="0" w:type="dxa"/>
              <w:right w:w="108" w:type="dxa"/>
            </w:tcMar>
          </w:tcPr>
          <w:p w:rsidR="0085230F" w:rsidRPr="00535099" w:rsidRDefault="0085230F" w:rsidP="001144F9">
            <w:pPr>
              <w:spacing w:after="0"/>
              <w:rPr>
                <w:rFonts w:ascii="Calibri" w:hAnsi="Calibri"/>
                <w:color w:val="262626"/>
                <w:sz w:val="20"/>
                <w:szCs w:val="20"/>
              </w:rPr>
            </w:pPr>
          </w:p>
        </w:tc>
      </w:tr>
      <w:tr w:rsidR="0085230F" w:rsidRPr="00B151CB" w:rsidTr="001144F9">
        <w:trPr>
          <w:trHeight w:val="511"/>
        </w:trPr>
        <w:tc>
          <w:tcPr>
            <w:tcW w:w="2448" w:type="dxa"/>
            <w:tcMar>
              <w:top w:w="0" w:type="dxa"/>
              <w:left w:w="108" w:type="dxa"/>
              <w:bottom w:w="0" w:type="dxa"/>
              <w:right w:w="108" w:type="dxa"/>
            </w:tcMar>
          </w:tcPr>
          <w:p w:rsidR="0085230F" w:rsidRPr="00535099" w:rsidRDefault="0085230F" w:rsidP="001144F9">
            <w:pPr>
              <w:spacing w:after="0"/>
              <w:rPr>
                <w:b/>
                <w:bCs/>
                <w:color w:val="262626"/>
              </w:rPr>
            </w:pPr>
            <w:r w:rsidRPr="00535099">
              <w:rPr>
                <w:b/>
                <w:bCs/>
                <w:color w:val="262626"/>
              </w:rPr>
              <w:t>Urgency level for grant approval &amp; payments</w:t>
            </w:r>
          </w:p>
        </w:tc>
        <w:tc>
          <w:tcPr>
            <w:tcW w:w="3574" w:type="dxa"/>
            <w:gridSpan w:val="2"/>
            <w:tcMar>
              <w:top w:w="0" w:type="dxa"/>
              <w:left w:w="108" w:type="dxa"/>
              <w:bottom w:w="0" w:type="dxa"/>
              <w:right w:w="108" w:type="dxa"/>
            </w:tcMar>
            <w:vAlign w:val="center"/>
          </w:tcPr>
          <w:p w:rsidR="0085230F" w:rsidRPr="00535099" w:rsidRDefault="0089328B" w:rsidP="001144F9">
            <w:pPr>
              <w:pStyle w:val="ColorfulList-Accent11"/>
              <w:spacing w:after="0" w:line="240" w:lineRule="auto"/>
              <w:ind w:left="0"/>
              <w:rPr>
                <w:sz w:val="20"/>
                <w:szCs w:val="20"/>
              </w:rPr>
            </w:pPr>
            <w:sdt>
              <w:sdtPr>
                <w:rPr>
                  <w:sz w:val="20"/>
                  <w:szCs w:val="20"/>
                </w:rPr>
                <w:id w:val="-1431961457"/>
              </w:sdtPr>
              <w:sdtEndPr/>
              <w:sdtContent>
                <w:r w:rsidR="0085230F" w:rsidRPr="00535099">
                  <w:rPr>
                    <w:rFonts w:ascii="MS Gothic" w:eastAsia="MS Gothic" w:hAnsi="MS Gothic" w:hint="eastAsia"/>
                    <w:sz w:val="20"/>
                    <w:szCs w:val="20"/>
                  </w:rPr>
                  <w:t>☒</w:t>
                </w:r>
              </w:sdtContent>
            </w:sdt>
            <w:r w:rsidR="0085230F" w:rsidRPr="00535099">
              <w:rPr>
                <w:sz w:val="20"/>
                <w:szCs w:val="20"/>
              </w:rPr>
              <w:t xml:space="preserve"> </w:t>
            </w:r>
            <w:r w:rsidR="0085230F" w:rsidRPr="00535099">
              <w:rPr>
                <w:b/>
                <w:sz w:val="20"/>
                <w:szCs w:val="20"/>
                <w:u w:val="single"/>
              </w:rPr>
              <w:t>Not</w:t>
            </w:r>
            <w:r w:rsidR="0085230F" w:rsidRPr="00535099">
              <w:rPr>
                <w:sz w:val="20"/>
                <w:szCs w:val="20"/>
              </w:rPr>
              <w:t xml:space="preserve"> Rapid Response </w:t>
            </w:r>
          </w:p>
        </w:tc>
        <w:tc>
          <w:tcPr>
            <w:tcW w:w="3574" w:type="dxa"/>
            <w:vAlign w:val="center"/>
          </w:tcPr>
          <w:p w:rsidR="0085230F" w:rsidRPr="00535099" w:rsidRDefault="0085230F" w:rsidP="001144F9">
            <w:pPr>
              <w:pStyle w:val="ColorfulList-Accent11"/>
              <w:spacing w:after="0" w:line="240" w:lineRule="auto"/>
              <w:ind w:left="0"/>
              <w:rPr>
                <w:sz w:val="20"/>
                <w:szCs w:val="20"/>
              </w:rPr>
            </w:pPr>
            <w:r w:rsidRPr="00535099">
              <w:rPr>
                <w:sz w:val="20"/>
                <w:szCs w:val="20"/>
              </w:rPr>
              <w:t xml:space="preserve">  </w:t>
            </w:r>
            <w:sdt>
              <w:sdtPr>
                <w:rPr>
                  <w:sz w:val="20"/>
                  <w:szCs w:val="20"/>
                </w:rPr>
                <w:id w:val="-1454474560"/>
              </w:sdtPr>
              <w:sdtEndPr/>
              <w:sdtContent>
                <w:r w:rsidRPr="00535099">
                  <w:rPr>
                    <w:rFonts w:ascii="MS Gothic" w:eastAsia="MS Gothic" w:hAnsi="MS Gothic" w:hint="eastAsia"/>
                    <w:sz w:val="20"/>
                    <w:szCs w:val="20"/>
                  </w:rPr>
                  <w:t>☐</w:t>
                </w:r>
              </w:sdtContent>
            </w:sdt>
            <w:r w:rsidRPr="00535099">
              <w:rPr>
                <w:sz w:val="20"/>
                <w:szCs w:val="20"/>
              </w:rPr>
              <w:t xml:space="preserve"> Rapid Response </w:t>
            </w:r>
            <w:r w:rsidRPr="00535099">
              <w:rPr>
                <w:bCs/>
                <w:i/>
                <w:color w:val="262626"/>
                <w:sz w:val="20"/>
                <w:szCs w:val="20"/>
              </w:rPr>
              <w:t xml:space="preserve">(See procedure on </w:t>
            </w:r>
            <w:hyperlink r:id="rId7" w:history="1">
              <w:r w:rsidRPr="00535099">
                <w:rPr>
                  <w:rStyle w:val="Hyperlink"/>
                  <w:bCs/>
                  <w:i/>
                  <w:sz w:val="20"/>
                  <w:szCs w:val="20"/>
                </w:rPr>
                <w:t>KARL</w:t>
              </w:r>
            </w:hyperlink>
            <w:r w:rsidRPr="00535099">
              <w:rPr>
                <w:bCs/>
                <w:i/>
                <w:color w:val="262626"/>
                <w:sz w:val="20"/>
                <w:szCs w:val="20"/>
              </w:rPr>
              <w:t>)</w:t>
            </w:r>
          </w:p>
        </w:tc>
      </w:tr>
      <w:tr w:rsidR="0085230F" w:rsidRPr="00B151CB" w:rsidTr="001144F9">
        <w:trPr>
          <w:trHeight w:val="287"/>
        </w:trPr>
        <w:tc>
          <w:tcPr>
            <w:tcW w:w="2448" w:type="dxa"/>
            <w:vMerge w:val="restart"/>
            <w:tcMar>
              <w:top w:w="0" w:type="dxa"/>
              <w:left w:w="108" w:type="dxa"/>
              <w:bottom w:w="0" w:type="dxa"/>
              <w:right w:w="108" w:type="dxa"/>
            </w:tcMar>
          </w:tcPr>
          <w:p w:rsidR="0085230F" w:rsidRPr="00535099" w:rsidRDefault="0085230F" w:rsidP="001144F9">
            <w:pPr>
              <w:spacing w:after="0"/>
              <w:rPr>
                <w:b/>
                <w:bCs/>
                <w:color w:val="262626"/>
              </w:rPr>
            </w:pPr>
            <w:r w:rsidRPr="00535099">
              <w:rPr>
                <w:b/>
                <w:bCs/>
                <w:color w:val="262626"/>
              </w:rPr>
              <w:t xml:space="preserve">If approved, where to allocate the budget? </w:t>
            </w:r>
          </w:p>
          <w:p w:rsidR="0085230F" w:rsidRPr="00535099" w:rsidRDefault="0085230F" w:rsidP="001144F9">
            <w:pPr>
              <w:spacing w:after="0"/>
              <w:rPr>
                <w:b/>
                <w:bCs/>
                <w:color w:val="262626"/>
              </w:rPr>
            </w:pPr>
            <w:r w:rsidRPr="00535099">
              <w:rPr>
                <w:bCs/>
                <w:i/>
                <w:color w:val="262626"/>
              </w:rPr>
              <w:t>(If the budget is split between multiple programs, please copy/paste this section as needed.)</w:t>
            </w:r>
          </w:p>
        </w:tc>
        <w:tc>
          <w:tcPr>
            <w:tcW w:w="3574" w:type="dxa"/>
            <w:gridSpan w:val="2"/>
            <w:tcMar>
              <w:top w:w="0" w:type="dxa"/>
              <w:left w:w="108" w:type="dxa"/>
              <w:bottom w:w="0" w:type="dxa"/>
              <w:right w:w="108" w:type="dxa"/>
            </w:tcMar>
          </w:tcPr>
          <w:p w:rsidR="0085230F" w:rsidRPr="00535099" w:rsidRDefault="0085230F" w:rsidP="001144F9">
            <w:pPr>
              <w:pStyle w:val="ColorfulList-Accent11"/>
              <w:spacing w:after="0" w:line="240" w:lineRule="auto"/>
              <w:ind w:left="0"/>
              <w:rPr>
                <w:sz w:val="20"/>
                <w:szCs w:val="20"/>
              </w:rPr>
            </w:pPr>
            <w:r w:rsidRPr="00535099">
              <w:rPr>
                <w:sz w:val="20"/>
                <w:szCs w:val="20"/>
              </w:rPr>
              <w:t>Amount</w:t>
            </w:r>
          </w:p>
        </w:tc>
        <w:tc>
          <w:tcPr>
            <w:tcW w:w="3574" w:type="dxa"/>
          </w:tcPr>
          <w:p w:rsidR="0085230F" w:rsidRPr="00535099" w:rsidRDefault="00B56CBC" w:rsidP="001144F9">
            <w:pPr>
              <w:pStyle w:val="ColorfulList-Accent11"/>
              <w:spacing w:after="0" w:line="240" w:lineRule="auto"/>
              <w:ind w:left="0"/>
              <w:rPr>
                <w:sz w:val="20"/>
                <w:szCs w:val="20"/>
              </w:rPr>
            </w:pPr>
            <w:r>
              <w:rPr>
                <w:sz w:val="20"/>
                <w:szCs w:val="20"/>
              </w:rPr>
              <w:t>$</w:t>
            </w:r>
            <w:r w:rsidRPr="00B56CBC">
              <w:rPr>
                <w:sz w:val="20"/>
                <w:szCs w:val="20"/>
              </w:rPr>
              <w:t>109,000.00</w:t>
            </w:r>
          </w:p>
        </w:tc>
      </w:tr>
      <w:tr w:rsidR="0085230F" w:rsidRPr="00B151CB" w:rsidTr="001144F9">
        <w:trPr>
          <w:trHeight w:val="288"/>
        </w:trPr>
        <w:tc>
          <w:tcPr>
            <w:tcW w:w="2448" w:type="dxa"/>
            <w:vMerge/>
            <w:tcMar>
              <w:top w:w="0" w:type="dxa"/>
              <w:left w:w="108" w:type="dxa"/>
              <w:bottom w:w="0" w:type="dxa"/>
              <w:right w:w="108" w:type="dxa"/>
            </w:tcMar>
          </w:tcPr>
          <w:p w:rsidR="0085230F" w:rsidRPr="00B151CB" w:rsidRDefault="0085230F" w:rsidP="001144F9">
            <w:pPr>
              <w:spacing w:after="0"/>
              <w:rPr>
                <w:b/>
                <w:bCs/>
                <w:color w:val="262626"/>
                <w:sz w:val="24"/>
                <w:szCs w:val="24"/>
              </w:rPr>
            </w:pPr>
          </w:p>
        </w:tc>
        <w:tc>
          <w:tcPr>
            <w:tcW w:w="3574" w:type="dxa"/>
            <w:gridSpan w:val="2"/>
            <w:tcMar>
              <w:top w:w="0" w:type="dxa"/>
              <w:left w:w="108" w:type="dxa"/>
              <w:bottom w:w="0" w:type="dxa"/>
              <w:right w:w="108" w:type="dxa"/>
            </w:tcMar>
          </w:tcPr>
          <w:p w:rsidR="0085230F" w:rsidRPr="00535099" w:rsidRDefault="0085230F" w:rsidP="001144F9">
            <w:pPr>
              <w:pStyle w:val="ColorfulList-Accent11"/>
              <w:spacing w:after="0" w:line="240" w:lineRule="auto"/>
              <w:ind w:left="0"/>
              <w:rPr>
                <w:sz w:val="20"/>
                <w:szCs w:val="20"/>
              </w:rPr>
            </w:pPr>
            <w:r w:rsidRPr="00535099">
              <w:rPr>
                <w:sz w:val="20"/>
                <w:szCs w:val="20"/>
              </w:rPr>
              <w:t>Category of Work</w:t>
            </w:r>
          </w:p>
        </w:tc>
        <w:tc>
          <w:tcPr>
            <w:tcW w:w="3574" w:type="dxa"/>
          </w:tcPr>
          <w:p w:rsidR="0085230F" w:rsidRPr="00535099" w:rsidRDefault="00116540" w:rsidP="001144F9">
            <w:pPr>
              <w:pStyle w:val="ColorfulList-Accent11"/>
              <w:spacing w:after="0" w:line="240" w:lineRule="auto"/>
              <w:ind w:left="0"/>
              <w:rPr>
                <w:sz w:val="20"/>
                <w:szCs w:val="20"/>
              </w:rPr>
            </w:pPr>
            <w:r w:rsidRPr="00535099">
              <w:rPr>
                <w:sz w:val="20"/>
                <w:szCs w:val="20"/>
              </w:rPr>
              <w:t>SHARED FRAMEWORK: Post-2015 On-the-Ground</w:t>
            </w:r>
          </w:p>
        </w:tc>
      </w:tr>
      <w:tr w:rsidR="0085230F" w:rsidRPr="00B151CB" w:rsidTr="001144F9">
        <w:trPr>
          <w:trHeight w:val="287"/>
        </w:trPr>
        <w:tc>
          <w:tcPr>
            <w:tcW w:w="2448" w:type="dxa"/>
            <w:vMerge/>
            <w:tcMar>
              <w:top w:w="0" w:type="dxa"/>
              <w:left w:w="108" w:type="dxa"/>
              <w:bottom w:w="0" w:type="dxa"/>
              <w:right w:w="108" w:type="dxa"/>
            </w:tcMar>
          </w:tcPr>
          <w:p w:rsidR="0085230F" w:rsidRPr="00B151CB" w:rsidRDefault="0085230F" w:rsidP="001144F9">
            <w:pPr>
              <w:spacing w:after="0"/>
              <w:rPr>
                <w:b/>
                <w:bCs/>
                <w:color w:val="262626"/>
                <w:sz w:val="24"/>
                <w:szCs w:val="24"/>
              </w:rPr>
            </w:pPr>
          </w:p>
        </w:tc>
        <w:tc>
          <w:tcPr>
            <w:tcW w:w="3574" w:type="dxa"/>
            <w:gridSpan w:val="2"/>
            <w:tcMar>
              <w:top w:w="0" w:type="dxa"/>
              <w:left w:w="108" w:type="dxa"/>
              <w:bottom w:w="0" w:type="dxa"/>
              <w:right w:w="108" w:type="dxa"/>
            </w:tcMar>
          </w:tcPr>
          <w:p w:rsidR="0085230F" w:rsidRPr="00535099" w:rsidRDefault="0085230F" w:rsidP="001144F9">
            <w:pPr>
              <w:pStyle w:val="ColorfulList-Accent11"/>
              <w:spacing w:after="0" w:line="240" w:lineRule="auto"/>
              <w:ind w:left="0"/>
              <w:rPr>
                <w:sz w:val="20"/>
                <w:szCs w:val="20"/>
              </w:rPr>
            </w:pPr>
            <w:r w:rsidRPr="00535099">
              <w:rPr>
                <w:sz w:val="20"/>
                <w:szCs w:val="20"/>
              </w:rPr>
              <w:t>Division/Program Code</w:t>
            </w:r>
          </w:p>
        </w:tc>
        <w:tc>
          <w:tcPr>
            <w:tcW w:w="3574" w:type="dxa"/>
          </w:tcPr>
          <w:p w:rsidR="0085230F" w:rsidRPr="00535099" w:rsidRDefault="005956BD" w:rsidP="001144F9">
            <w:pPr>
              <w:pStyle w:val="ColorfulList-Accent11"/>
              <w:spacing w:after="0" w:line="240" w:lineRule="auto"/>
              <w:ind w:left="0"/>
              <w:rPr>
                <w:sz w:val="20"/>
                <w:szCs w:val="20"/>
              </w:rPr>
            </w:pPr>
            <w:r>
              <w:t>Nepal Program – Nepal Grants/411052</w:t>
            </w:r>
          </w:p>
        </w:tc>
      </w:tr>
      <w:tr w:rsidR="0085230F" w:rsidRPr="00B151CB" w:rsidTr="001144F9">
        <w:trPr>
          <w:trHeight w:val="288"/>
        </w:trPr>
        <w:tc>
          <w:tcPr>
            <w:tcW w:w="2448" w:type="dxa"/>
            <w:vMerge/>
            <w:tcMar>
              <w:top w:w="0" w:type="dxa"/>
              <w:left w:w="108" w:type="dxa"/>
              <w:bottom w:w="0" w:type="dxa"/>
              <w:right w:w="108" w:type="dxa"/>
            </w:tcMar>
          </w:tcPr>
          <w:p w:rsidR="0085230F" w:rsidRPr="00B151CB" w:rsidRDefault="0085230F" w:rsidP="001144F9">
            <w:pPr>
              <w:spacing w:after="0"/>
              <w:rPr>
                <w:b/>
                <w:bCs/>
                <w:color w:val="262626"/>
                <w:sz w:val="24"/>
                <w:szCs w:val="24"/>
              </w:rPr>
            </w:pPr>
          </w:p>
        </w:tc>
        <w:tc>
          <w:tcPr>
            <w:tcW w:w="3574" w:type="dxa"/>
            <w:gridSpan w:val="2"/>
            <w:tcMar>
              <w:top w:w="0" w:type="dxa"/>
              <w:left w:w="108" w:type="dxa"/>
              <w:bottom w:w="0" w:type="dxa"/>
              <w:right w:w="108" w:type="dxa"/>
            </w:tcMar>
          </w:tcPr>
          <w:p w:rsidR="0085230F" w:rsidRPr="00535099" w:rsidRDefault="0085230F" w:rsidP="001144F9">
            <w:pPr>
              <w:pStyle w:val="ColorfulList-Accent11"/>
              <w:spacing w:after="0" w:line="240" w:lineRule="auto"/>
              <w:ind w:left="0"/>
              <w:rPr>
                <w:sz w:val="20"/>
                <w:szCs w:val="20"/>
              </w:rPr>
            </w:pPr>
            <w:r w:rsidRPr="00535099">
              <w:rPr>
                <w:sz w:val="20"/>
                <w:szCs w:val="20"/>
              </w:rPr>
              <w:t xml:space="preserve">Entity </w:t>
            </w:r>
            <w:r w:rsidRPr="00535099">
              <w:rPr>
                <w:i/>
                <w:sz w:val="20"/>
                <w:szCs w:val="20"/>
              </w:rPr>
              <w:t>(i.e., FPOS, ZUG)</w:t>
            </w:r>
          </w:p>
        </w:tc>
        <w:tc>
          <w:tcPr>
            <w:tcW w:w="3574" w:type="dxa"/>
          </w:tcPr>
          <w:p w:rsidR="0085230F" w:rsidRPr="00535099" w:rsidRDefault="005956BD" w:rsidP="001144F9">
            <w:pPr>
              <w:pStyle w:val="ColorfulList-Accent11"/>
              <w:spacing w:after="0" w:line="240" w:lineRule="auto"/>
              <w:ind w:left="0"/>
              <w:rPr>
                <w:sz w:val="20"/>
                <w:szCs w:val="20"/>
              </w:rPr>
            </w:pPr>
            <w:r>
              <w:rPr>
                <w:sz w:val="20"/>
                <w:szCs w:val="20"/>
              </w:rPr>
              <w:t>FPOS</w:t>
            </w:r>
          </w:p>
        </w:tc>
      </w:tr>
      <w:tr w:rsidR="0085230F" w:rsidRPr="00B151CB" w:rsidTr="001144F9">
        <w:trPr>
          <w:trHeight w:val="287"/>
        </w:trPr>
        <w:tc>
          <w:tcPr>
            <w:tcW w:w="2448" w:type="dxa"/>
            <w:vMerge/>
            <w:tcMar>
              <w:top w:w="0" w:type="dxa"/>
              <w:left w:w="108" w:type="dxa"/>
              <w:bottom w:w="0" w:type="dxa"/>
              <w:right w:w="108" w:type="dxa"/>
            </w:tcMar>
          </w:tcPr>
          <w:p w:rsidR="0085230F" w:rsidRPr="00B151CB" w:rsidRDefault="0085230F" w:rsidP="001144F9">
            <w:pPr>
              <w:spacing w:after="0"/>
              <w:rPr>
                <w:b/>
                <w:bCs/>
                <w:color w:val="262626"/>
                <w:sz w:val="24"/>
                <w:szCs w:val="24"/>
              </w:rPr>
            </w:pPr>
          </w:p>
        </w:tc>
        <w:tc>
          <w:tcPr>
            <w:tcW w:w="3574" w:type="dxa"/>
            <w:gridSpan w:val="2"/>
            <w:tcMar>
              <w:top w:w="0" w:type="dxa"/>
              <w:left w:w="108" w:type="dxa"/>
              <w:bottom w:w="0" w:type="dxa"/>
              <w:right w:w="108" w:type="dxa"/>
            </w:tcMar>
          </w:tcPr>
          <w:p w:rsidR="0085230F" w:rsidRPr="00535099" w:rsidRDefault="0085230F" w:rsidP="001144F9">
            <w:pPr>
              <w:pStyle w:val="ColorfulList-Accent11"/>
              <w:spacing w:after="0" w:line="240" w:lineRule="auto"/>
              <w:ind w:left="0"/>
              <w:rPr>
                <w:sz w:val="20"/>
                <w:szCs w:val="20"/>
              </w:rPr>
            </w:pPr>
            <w:r w:rsidRPr="00535099">
              <w:rPr>
                <w:sz w:val="20"/>
                <w:szCs w:val="20"/>
              </w:rPr>
              <w:t xml:space="preserve">Fund Class </w:t>
            </w:r>
            <w:r w:rsidRPr="00535099">
              <w:rPr>
                <w:i/>
                <w:sz w:val="20"/>
                <w:szCs w:val="20"/>
              </w:rPr>
              <w:t>(i.e., Lobbying/Non-Lobbying)</w:t>
            </w:r>
          </w:p>
        </w:tc>
        <w:tc>
          <w:tcPr>
            <w:tcW w:w="3574" w:type="dxa"/>
          </w:tcPr>
          <w:p w:rsidR="0085230F" w:rsidRPr="00535099" w:rsidRDefault="005956BD" w:rsidP="001144F9">
            <w:pPr>
              <w:pStyle w:val="ColorfulList-Accent11"/>
              <w:spacing w:after="0" w:line="240" w:lineRule="auto"/>
              <w:ind w:left="0"/>
              <w:rPr>
                <w:sz w:val="20"/>
                <w:szCs w:val="20"/>
              </w:rPr>
            </w:pPr>
            <w:r>
              <w:rPr>
                <w:sz w:val="20"/>
                <w:szCs w:val="20"/>
              </w:rPr>
              <w:t>Non-lobbying</w:t>
            </w:r>
          </w:p>
        </w:tc>
      </w:tr>
      <w:tr w:rsidR="0085230F" w:rsidRPr="00B151CB" w:rsidTr="001144F9">
        <w:trPr>
          <w:trHeight w:val="288"/>
        </w:trPr>
        <w:tc>
          <w:tcPr>
            <w:tcW w:w="2448" w:type="dxa"/>
            <w:vMerge/>
            <w:tcMar>
              <w:top w:w="0" w:type="dxa"/>
              <w:left w:w="108" w:type="dxa"/>
              <w:bottom w:w="0" w:type="dxa"/>
              <w:right w:w="108" w:type="dxa"/>
            </w:tcMar>
          </w:tcPr>
          <w:p w:rsidR="0085230F" w:rsidRPr="00B151CB" w:rsidRDefault="0085230F" w:rsidP="001144F9">
            <w:pPr>
              <w:spacing w:after="0"/>
              <w:rPr>
                <w:b/>
                <w:bCs/>
                <w:color w:val="262626"/>
                <w:sz w:val="24"/>
                <w:szCs w:val="24"/>
              </w:rPr>
            </w:pPr>
          </w:p>
        </w:tc>
        <w:tc>
          <w:tcPr>
            <w:tcW w:w="3574" w:type="dxa"/>
            <w:gridSpan w:val="2"/>
            <w:tcMar>
              <w:top w:w="0" w:type="dxa"/>
              <w:left w:w="108" w:type="dxa"/>
              <w:bottom w:w="0" w:type="dxa"/>
              <w:right w:w="108" w:type="dxa"/>
            </w:tcMar>
          </w:tcPr>
          <w:p w:rsidR="0085230F" w:rsidRPr="00535099" w:rsidRDefault="0085230F" w:rsidP="001144F9">
            <w:pPr>
              <w:pStyle w:val="ColorfulList-Accent11"/>
              <w:spacing w:after="0" w:line="240" w:lineRule="auto"/>
              <w:ind w:left="0"/>
              <w:rPr>
                <w:sz w:val="20"/>
                <w:szCs w:val="20"/>
              </w:rPr>
            </w:pPr>
            <w:r w:rsidRPr="00535099">
              <w:rPr>
                <w:sz w:val="20"/>
                <w:szCs w:val="20"/>
              </w:rPr>
              <w:t xml:space="preserve">Geography </w:t>
            </w:r>
            <w:r w:rsidRPr="00535099">
              <w:rPr>
                <w:i/>
                <w:sz w:val="20"/>
                <w:szCs w:val="20"/>
              </w:rPr>
              <w:t>(of benefit)</w:t>
            </w:r>
          </w:p>
        </w:tc>
        <w:tc>
          <w:tcPr>
            <w:tcW w:w="3574" w:type="dxa"/>
          </w:tcPr>
          <w:p w:rsidR="0085230F" w:rsidRPr="00535099" w:rsidRDefault="00116540" w:rsidP="001144F9">
            <w:pPr>
              <w:pStyle w:val="ColorfulList-Accent11"/>
              <w:spacing w:after="0" w:line="240" w:lineRule="auto"/>
              <w:ind w:left="0"/>
              <w:rPr>
                <w:sz w:val="20"/>
                <w:szCs w:val="20"/>
              </w:rPr>
            </w:pPr>
            <w:r w:rsidRPr="00535099">
              <w:rPr>
                <w:sz w:val="20"/>
                <w:szCs w:val="20"/>
              </w:rPr>
              <w:t>Nepal</w:t>
            </w:r>
          </w:p>
        </w:tc>
      </w:tr>
      <w:tr w:rsidR="00B56CBC" w:rsidRPr="00535099" w:rsidTr="00B56CBC">
        <w:trPr>
          <w:trHeight w:val="288"/>
        </w:trPr>
        <w:tc>
          <w:tcPr>
            <w:tcW w:w="2448" w:type="dxa"/>
            <w:vMerge/>
            <w:tcMar>
              <w:top w:w="0" w:type="dxa"/>
              <w:left w:w="108" w:type="dxa"/>
              <w:bottom w:w="0" w:type="dxa"/>
              <w:right w:w="108" w:type="dxa"/>
            </w:tcMar>
          </w:tcPr>
          <w:p w:rsidR="00B56CBC" w:rsidRPr="00535099" w:rsidRDefault="00B56CBC" w:rsidP="00CC1AB9">
            <w:pPr>
              <w:spacing w:after="0"/>
              <w:rPr>
                <w:b/>
                <w:bCs/>
                <w:color w:val="262626"/>
              </w:rPr>
            </w:pPr>
            <w:r w:rsidRPr="00535099">
              <w:rPr>
                <w:b/>
                <w:bCs/>
                <w:color w:val="262626"/>
              </w:rPr>
              <w:t xml:space="preserve">If approved, where to allocate the budget? </w:t>
            </w:r>
          </w:p>
          <w:p w:rsidR="00B56CBC" w:rsidRPr="00535099" w:rsidRDefault="00B56CBC" w:rsidP="00CC1AB9">
            <w:pPr>
              <w:spacing w:after="0"/>
              <w:rPr>
                <w:b/>
                <w:bCs/>
                <w:color w:val="262626"/>
              </w:rPr>
            </w:pPr>
            <w:r w:rsidRPr="00535099">
              <w:rPr>
                <w:bCs/>
                <w:i/>
                <w:color w:val="262626"/>
              </w:rPr>
              <w:t>(If the budget is split between multiple programs, please copy/paste this section as needed.)</w:t>
            </w: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6CBC" w:rsidRPr="00B56CBC" w:rsidRDefault="00B56CBC" w:rsidP="00B56CBC">
            <w:pPr>
              <w:rPr>
                <w:b/>
                <w:bCs/>
                <w:color w:val="262626"/>
              </w:rPr>
            </w:pPr>
            <w:r w:rsidRPr="00B56CBC">
              <w:rPr>
                <w:b/>
                <w:bCs/>
                <w:color w:val="262626"/>
              </w:rPr>
              <w:t>Amount</w:t>
            </w:r>
          </w:p>
        </w:tc>
        <w:tc>
          <w:tcPr>
            <w:tcW w:w="3574" w:type="dxa"/>
            <w:tcBorders>
              <w:top w:val="single" w:sz="8" w:space="0" w:color="auto"/>
              <w:left w:val="single" w:sz="8" w:space="0" w:color="auto"/>
              <w:bottom w:val="single" w:sz="8" w:space="0" w:color="auto"/>
              <w:right w:val="single" w:sz="8" w:space="0" w:color="auto"/>
            </w:tcBorders>
          </w:tcPr>
          <w:p w:rsidR="00B56CBC" w:rsidRPr="00535099" w:rsidRDefault="00B56CBC" w:rsidP="00CC1AB9">
            <w:pPr>
              <w:pStyle w:val="ColorfulList-Accent11"/>
              <w:spacing w:after="0" w:line="240" w:lineRule="auto"/>
              <w:ind w:left="0"/>
              <w:rPr>
                <w:sz w:val="20"/>
                <w:szCs w:val="20"/>
              </w:rPr>
            </w:pPr>
            <w:r>
              <w:rPr>
                <w:sz w:val="20"/>
                <w:szCs w:val="20"/>
              </w:rPr>
              <w:t>$</w:t>
            </w:r>
            <w:r w:rsidR="00083D63">
              <w:rPr>
                <w:color w:val="262626"/>
                <w:sz w:val="20"/>
                <w:szCs w:val="20"/>
              </w:rPr>
              <w:t>84,316</w:t>
            </w:r>
            <w:r w:rsidR="00083D63" w:rsidRPr="00535099">
              <w:rPr>
                <w:color w:val="262626"/>
                <w:sz w:val="20"/>
                <w:szCs w:val="20"/>
              </w:rPr>
              <w:t>.00</w:t>
            </w:r>
          </w:p>
        </w:tc>
      </w:tr>
      <w:tr w:rsidR="00B56CBC" w:rsidRPr="00535099" w:rsidTr="00B56CBC">
        <w:trPr>
          <w:trHeight w:val="288"/>
        </w:trPr>
        <w:tc>
          <w:tcPr>
            <w:tcW w:w="2448" w:type="dxa"/>
            <w:vMerge/>
            <w:tcMar>
              <w:top w:w="0" w:type="dxa"/>
              <w:left w:w="108" w:type="dxa"/>
              <w:bottom w:w="0" w:type="dxa"/>
              <w:right w:w="108" w:type="dxa"/>
            </w:tcMar>
          </w:tcPr>
          <w:p w:rsidR="00B56CBC" w:rsidRPr="00B151CB" w:rsidRDefault="00B56CBC"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6CBC" w:rsidRPr="00B56CBC" w:rsidRDefault="00B56CBC" w:rsidP="00B56CBC">
            <w:pPr>
              <w:rPr>
                <w:b/>
                <w:bCs/>
                <w:color w:val="262626"/>
              </w:rPr>
            </w:pPr>
            <w:r w:rsidRPr="00B56CBC">
              <w:rPr>
                <w:b/>
                <w:bCs/>
                <w:color w:val="262626"/>
              </w:rPr>
              <w:t>Category of Work</w:t>
            </w:r>
          </w:p>
        </w:tc>
        <w:tc>
          <w:tcPr>
            <w:tcW w:w="3574" w:type="dxa"/>
            <w:tcBorders>
              <w:top w:val="single" w:sz="8" w:space="0" w:color="auto"/>
              <w:left w:val="single" w:sz="8" w:space="0" w:color="auto"/>
              <w:bottom w:val="single" w:sz="8" w:space="0" w:color="auto"/>
              <w:right w:val="single" w:sz="8" w:space="0" w:color="auto"/>
            </w:tcBorders>
          </w:tcPr>
          <w:p w:rsidR="00B56CBC" w:rsidRPr="00535099" w:rsidRDefault="00B56CBC" w:rsidP="00CC1AB9">
            <w:pPr>
              <w:pStyle w:val="ColorfulList-Accent11"/>
              <w:spacing w:after="0" w:line="240" w:lineRule="auto"/>
              <w:ind w:left="0"/>
              <w:rPr>
                <w:sz w:val="20"/>
                <w:szCs w:val="20"/>
              </w:rPr>
            </w:pPr>
            <w:r w:rsidRPr="00535099">
              <w:rPr>
                <w:sz w:val="20"/>
                <w:szCs w:val="20"/>
              </w:rPr>
              <w:t>SHARED FRAMEWORK: Post-2015 On-the-Ground</w:t>
            </w:r>
          </w:p>
        </w:tc>
      </w:tr>
      <w:tr w:rsidR="00B56CBC" w:rsidRPr="00535099" w:rsidTr="00B56CBC">
        <w:trPr>
          <w:trHeight w:val="288"/>
        </w:trPr>
        <w:tc>
          <w:tcPr>
            <w:tcW w:w="2448" w:type="dxa"/>
            <w:vMerge/>
            <w:tcMar>
              <w:top w:w="0" w:type="dxa"/>
              <w:left w:w="108" w:type="dxa"/>
              <w:bottom w:w="0" w:type="dxa"/>
              <w:right w:w="108" w:type="dxa"/>
            </w:tcMar>
          </w:tcPr>
          <w:p w:rsidR="00B56CBC" w:rsidRPr="00B151CB" w:rsidRDefault="00B56CBC"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6CBC" w:rsidRPr="00B56CBC" w:rsidRDefault="00B56CBC" w:rsidP="00B56CBC">
            <w:pPr>
              <w:rPr>
                <w:b/>
                <w:bCs/>
                <w:color w:val="262626"/>
              </w:rPr>
            </w:pPr>
            <w:r w:rsidRPr="00B56CBC">
              <w:rPr>
                <w:b/>
                <w:bCs/>
                <w:color w:val="262626"/>
              </w:rPr>
              <w:t>Division/Program Code</w:t>
            </w:r>
          </w:p>
        </w:tc>
        <w:tc>
          <w:tcPr>
            <w:tcW w:w="3574" w:type="dxa"/>
            <w:tcBorders>
              <w:top w:val="single" w:sz="8" w:space="0" w:color="auto"/>
              <w:left w:val="single" w:sz="8" w:space="0" w:color="auto"/>
              <w:bottom w:val="single" w:sz="8" w:space="0" w:color="auto"/>
              <w:right w:val="single" w:sz="8" w:space="0" w:color="auto"/>
            </w:tcBorders>
          </w:tcPr>
          <w:p w:rsidR="00B56CBC" w:rsidRPr="00535099" w:rsidRDefault="00CE469B" w:rsidP="00CC1AB9">
            <w:pPr>
              <w:pStyle w:val="ColorfulList-Accent11"/>
              <w:spacing w:after="0" w:line="240" w:lineRule="auto"/>
              <w:ind w:left="0"/>
              <w:rPr>
                <w:sz w:val="20"/>
                <w:szCs w:val="20"/>
              </w:rPr>
            </w:pPr>
            <w:r w:rsidRPr="00CE469B">
              <w:rPr>
                <w:sz w:val="20"/>
                <w:szCs w:val="20"/>
              </w:rPr>
              <w:t>CJI023-OSJI: Community-based justice services: 19010.010: Country Specific Tech Support</w:t>
            </w:r>
          </w:p>
        </w:tc>
      </w:tr>
      <w:tr w:rsidR="00B56CBC" w:rsidRPr="00535099" w:rsidTr="00B56CBC">
        <w:trPr>
          <w:trHeight w:val="288"/>
        </w:trPr>
        <w:tc>
          <w:tcPr>
            <w:tcW w:w="2448" w:type="dxa"/>
            <w:vMerge/>
            <w:tcMar>
              <w:top w:w="0" w:type="dxa"/>
              <w:left w:w="108" w:type="dxa"/>
              <w:bottom w:w="0" w:type="dxa"/>
              <w:right w:w="108" w:type="dxa"/>
            </w:tcMar>
          </w:tcPr>
          <w:p w:rsidR="00B56CBC" w:rsidRPr="00B151CB" w:rsidRDefault="00B56CBC"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6CBC" w:rsidRPr="00B56CBC" w:rsidRDefault="00B56CBC" w:rsidP="00B56CBC">
            <w:pPr>
              <w:rPr>
                <w:b/>
                <w:bCs/>
                <w:color w:val="262626"/>
              </w:rPr>
            </w:pPr>
            <w:r w:rsidRPr="00B56CBC">
              <w:rPr>
                <w:b/>
                <w:bCs/>
                <w:color w:val="262626"/>
              </w:rPr>
              <w:t>Entity (i.e., FPOS, ZUG)</w:t>
            </w:r>
          </w:p>
        </w:tc>
        <w:tc>
          <w:tcPr>
            <w:tcW w:w="3574" w:type="dxa"/>
            <w:tcBorders>
              <w:top w:val="single" w:sz="8" w:space="0" w:color="auto"/>
              <w:left w:val="single" w:sz="8" w:space="0" w:color="auto"/>
              <w:bottom w:val="single" w:sz="8" w:space="0" w:color="auto"/>
              <w:right w:val="single" w:sz="8" w:space="0" w:color="auto"/>
            </w:tcBorders>
          </w:tcPr>
          <w:p w:rsidR="00B56CBC" w:rsidRPr="00535099" w:rsidRDefault="00CE469B" w:rsidP="00CC1AB9">
            <w:pPr>
              <w:pStyle w:val="ColorfulList-Accent11"/>
              <w:spacing w:after="0" w:line="240" w:lineRule="auto"/>
              <w:ind w:left="0"/>
              <w:rPr>
                <w:sz w:val="20"/>
                <w:szCs w:val="20"/>
              </w:rPr>
            </w:pPr>
            <w:r>
              <w:rPr>
                <w:sz w:val="20"/>
                <w:szCs w:val="20"/>
              </w:rPr>
              <w:t>OSI NY</w:t>
            </w:r>
          </w:p>
        </w:tc>
      </w:tr>
      <w:tr w:rsidR="00B56CBC" w:rsidRPr="00535099" w:rsidTr="00B56CBC">
        <w:trPr>
          <w:trHeight w:val="288"/>
        </w:trPr>
        <w:tc>
          <w:tcPr>
            <w:tcW w:w="2448" w:type="dxa"/>
            <w:vMerge/>
            <w:tcMar>
              <w:top w:w="0" w:type="dxa"/>
              <w:left w:w="108" w:type="dxa"/>
              <w:bottom w:w="0" w:type="dxa"/>
              <w:right w:w="108" w:type="dxa"/>
            </w:tcMar>
          </w:tcPr>
          <w:p w:rsidR="00B56CBC" w:rsidRPr="00B151CB" w:rsidRDefault="00B56CBC"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6CBC" w:rsidRPr="00B56CBC" w:rsidRDefault="00B56CBC" w:rsidP="00B56CBC">
            <w:pPr>
              <w:rPr>
                <w:b/>
                <w:bCs/>
                <w:color w:val="262626"/>
              </w:rPr>
            </w:pPr>
            <w:r w:rsidRPr="00B56CBC">
              <w:rPr>
                <w:b/>
                <w:bCs/>
                <w:color w:val="262626"/>
              </w:rPr>
              <w:t>Fund Class (i.e., Lobbying/Non-Lobbying)</w:t>
            </w:r>
          </w:p>
        </w:tc>
        <w:tc>
          <w:tcPr>
            <w:tcW w:w="3574" w:type="dxa"/>
            <w:tcBorders>
              <w:top w:val="single" w:sz="8" w:space="0" w:color="auto"/>
              <w:left w:val="single" w:sz="8" w:space="0" w:color="auto"/>
              <w:bottom w:val="single" w:sz="8" w:space="0" w:color="auto"/>
              <w:right w:val="single" w:sz="8" w:space="0" w:color="auto"/>
            </w:tcBorders>
          </w:tcPr>
          <w:p w:rsidR="00B56CBC" w:rsidRPr="00535099" w:rsidRDefault="00CE469B" w:rsidP="00CC1AB9">
            <w:pPr>
              <w:pStyle w:val="ColorfulList-Accent11"/>
              <w:spacing w:after="0" w:line="240" w:lineRule="auto"/>
              <w:ind w:left="0"/>
              <w:rPr>
                <w:sz w:val="20"/>
                <w:szCs w:val="20"/>
              </w:rPr>
            </w:pPr>
            <w:r>
              <w:rPr>
                <w:sz w:val="20"/>
                <w:szCs w:val="20"/>
              </w:rPr>
              <w:t>Non-lobbying</w:t>
            </w:r>
          </w:p>
        </w:tc>
      </w:tr>
      <w:tr w:rsidR="00B56CBC" w:rsidRPr="00535099" w:rsidTr="00B56CBC">
        <w:trPr>
          <w:trHeight w:val="288"/>
        </w:trPr>
        <w:tc>
          <w:tcPr>
            <w:tcW w:w="2448" w:type="dxa"/>
            <w:vMerge/>
            <w:tcMar>
              <w:top w:w="0" w:type="dxa"/>
              <w:left w:w="108" w:type="dxa"/>
              <w:bottom w:w="0" w:type="dxa"/>
              <w:right w:w="108" w:type="dxa"/>
            </w:tcMar>
          </w:tcPr>
          <w:p w:rsidR="00B56CBC" w:rsidRPr="00B151CB" w:rsidRDefault="00B56CBC"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6CBC" w:rsidRPr="00B56CBC" w:rsidRDefault="00B56CBC" w:rsidP="00B56CBC">
            <w:pPr>
              <w:rPr>
                <w:b/>
                <w:bCs/>
                <w:color w:val="262626"/>
              </w:rPr>
            </w:pPr>
            <w:r w:rsidRPr="00B56CBC">
              <w:rPr>
                <w:b/>
                <w:bCs/>
                <w:color w:val="262626"/>
              </w:rPr>
              <w:t>Geography (of benefit)</w:t>
            </w:r>
          </w:p>
        </w:tc>
        <w:tc>
          <w:tcPr>
            <w:tcW w:w="3574" w:type="dxa"/>
            <w:tcBorders>
              <w:top w:val="single" w:sz="8" w:space="0" w:color="auto"/>
              <w:left w:val="single" w:sz="8" w:space="0" w:color="auto"/>
              <w:bottom w:val="single" w:sz="8" w:space="0" w:color="auto"/>
              <w:right w:val="single" w:sz="8" w:space="0" w:color="auto"/>
            </w:tcBorders>
          </w:tcPr>
          <w:p w:rsidR="00B56CBC" w:rsidRPr="00535099" w:rsidRDefault="00B56CBC" w:rsidP="00CC1AB9">
            <w:pPr>
              <w:pStyle w:val="ColorfulList-Accent11"/>
              <w:spacing w:after="0" w:line="240" w:lineRule="auto"/>
              <w:ind w:left="0"/>
              <w:rPr>
                <w:sz w:val="20"/>
                <w:szCs w:val="20"/>
              </w:rPr>
            </w:pPr>
            <w:r w:rsidRPr="00535099">
              <w:rPr>
                <w:sz w:val="20"/>
                <w:szCs w:val="20"/>
              </w:rPr>
              <w:t>Nepal</w:t>
            </w:r>
          </w:p>
        </w:tc>
      </w:tr>
      <w:tr w:rsidR="00083D63" w:rsidRPr="00535099" w:rsidTr="00B56CBC">
        <w:trPr>
          <w:trHeight w:val="288"/>
        </w:trPr>
        <w:tc>
          <w:tcPr>
            <w:tcW w:w="2448" w:type="dxa"/>
            <w:tcMar>
              <w:top w:w="0" w:type="dxa"/>
              <w:left w:w="108" w:type="dxa"/>
              <w:bottom w:w="0" w:type="dxa"/>
              <w:right w:w="108" w:type="dxa"/>
            </w:tcMar>
          </w:tcPr>
          <w:p w:rsidR="00083D63" w:rsidRPr="00B151CB" w:rsidRDefault="00083D63"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3D63" w:rsidRPr="00083D63" w:rsidRDefault="00083D63" w:rsidP="003768D4">
            <w:pPr>
              <w:rPr>
                <w:b/>
                <w:bCs/>
                <w:color w:val="262626"/>
                <w:sz w:val="20"/>
                <w:szCs w:val="20"/>
              </w:rPr>
            </w:pPr>
            <w:r w:rsidRPr="00083D63">
              <w:rPr>
                <w:b/>
                <w:bCs/>
                <w:color w:val="262626"/>
                <w:sz w:val="20"/>
                <w:szCs w:val="20"/>
              </w:rPr>
              <w:t>Amount</w:t>
            </w:r>
          </w:p>
        </w:tc>
        <w:tc>
          <w:tcPr>
            <w:tcW w:w="3574" w:type="dxa"/>
            <w:tcBorders>
              <w:top w:val="single" w:sz="8" w:space="0" w:color="auto"/>
              <w:left w:val="single" w:sz="8" w:space="0" w:color="auto"/>
              <w:bottom w:val="single" w:sz="8" w:space="0" w:color="auto"/>
              <w:right w:val="single" w:sz="8" w:space="0" w:color="auto"/>
            </w:tcBorders>
          </w:tcPr>
          <w:p w:rsidR="00083D63" w:rsidRPr="00083D63" w:rsidRDefault="00083D63" w:rsidP="003768D4">
            <w:pPr>
              <w:pStyle w:val="ColorfulList-Accent11"/>
              <w:spacing w:after="0" w:line="240" w:lineRule="auto"/>
              <w:ind w:left="0"/>
              <w:rPr>
                <w:sz w:val="20"/>
                <w:szCs w:val="20"/>
              </w:rPr>
            </w:pPr>
            <w:r w:rsidRPr="00083D63">
              <w:rPr>
                <w:sz w:val="20"/>
                <w:szCs w:val="20"/>
              </w:rPr>
              <w:t>$8,184</w:t>
            </w:r>
          </w:p>
        </w:tc>
      </w:tr>
      <w:tr w:rsidR="00083D63" w:rsidRPr="00535099" w:rsidTr="00B56CBC">
        <w:trPr>
          <w:trHeight w:val="288"/>
        </w:trPr>
        <w:tc>
          <w:tcPr>
            <w:tcW w:w="2448" w:type="dxa"/>
            <w:tcMar>
              <w:top w:w="0" w:type="dxa"/>
              <w:left w:w="108" w:type="dxa"/>
              <w:bottom w:w="0" w:type="dxa"/>
              <w:right w:w="108" w:type="dxa"/>
            </w:tcMar>
          </w:tcPr>
          <w:p w:rsidR="00083D63" w:rsidRPr="00B151CB" w:rsidRDefault="00083D63"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3D63" w:rsidRPr="00B56CBC" w:rsidRDefault="00083D63" w:rsidP="003768D4">
            <w:pPr>
              <w:rPr>
                <w:b/>
                <w:bCs/>
                <w:color w:val="262626"/>
              </w:rPr>
            </w:pPr>
            <w:r w:rsidRPr="00B56CBC">
              <w:rPr>
                <w:b/>
                <w:bCs/>
                <w:color w:val="262626"/>
              </w:rPr>
              <w:t>Category of Work</w:t>
            </w:r>
          </w:p>
        </w:tc>
        <w:tc>
          <w:tcPr>
            <w:tcW w:w="3574" w:type="dxa"/>
            <w:tcBorders>
              <w:top w:val="single" w:sz="8" w:space="0" w:color="auto"/>
              <w:left w:val="single" w:sz="8" w:space="0" w:color="auto"/>
              <w:bottom w:val="single" w:sz="8" w:space="0" w:color="auto"/>
              <w:right w:val="single" w:sz="8" w:space="0" w:color="auto"/>
            </w:tcBorders>
          </w:tcPr>
          <w:p w:rsidR="00083D63" w:rsidRPr="00535099" w:rsidRDefault="00083D63" w:rsidP="003768D4">
            <w:pPr>
              <w:pStyle w:val="ColorfulList-Accent11"/>
              <w:spacing w:after="0" w:line="240" w:lineRule="auto"/>
              <w:ind w:left="0"/>
              <w:rPr>
                <w:sz w:val="20"/>
                <w:szCs w:val="20"/>
              </w:rPr>
            </w:pPr>
            <w:r w:rsidRPr="00535099">
              <w:rPr>
                <w:sz w:val="20"/>
                <w:szCs w:val="20"/>
              </w:rPr>
              <w:t>SHARED FRAMEWORK: Post-2015 On-the-Ground</w:t>
            </w:r>
          </w:p>
        </w:tc>
      </w:tr>
      <w:tr w:rsidR="00083D63" w:rsidRPr="00535099" w:rsidTr="00B56CBC">
        <w:trPr>
          <w:trHeight w:val="288"/>
        </w:trPr>
        <w:tc>
          <w:tcPr>
            <w:tcW w:w="2448" w:type="dxa"/>
            <w:tcMar>
              <w:top w:w="0" w:type="dxa"/>
              <w:left w:w="108" w:type="dxa"/>
              <w:bottom w:w="0" w:type="dxa"/>
              <w:right w:w="108" w:type="dxa"/>
            </w:tcMar>
          </w:tcPr>
          <w:p w:rsidR="00083D63" w:rsidRPr="00B151CB" w:rsidRDefault="00083D63"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3D63" w:rsidRPr="00B56CBC" w:rsidRDefault="00083D63" w:rsidP="003768D4">
            <w:pPr>
              <w:rPr>
                <w:b/>
                <w:bCs/>
                <w:color w:val="262626"/>
              </w:rPr>
            </w:pPr>
            <w:r w:rsidRPr="00B56CBC">
              <w:rPr>
                <w:b/>
                <w:bCs/>
                <w:color w:val="262626"/>
              </w:rPr>
              <w:t>Division/Program Code</w:t>
            </w:r>
          </w:p>
        </w:tc>
        <w:tc>
          <w:tcPr>
            <w:tcW w:w="3574" w:type="dxa"/>
            <w:tcBorders>
              <w:top w:val="single" w:sz="8" w:space="0" w:color="auto"/>
              <w:left w:val="single" w:sz="8" w:space="0" w:color="auto"/>
              <w:bottom w:val="single" w:sz="8" w:space="0" w:color="auto"/>
              <w:right w:val="single" w:sz="8" w:space="0" w:color="auto"/>
            </w:tcBorders>
          </w:tcPr>
          <w:p w:rsidR="00083D63" w:rsidRPr="00535099" w:rsidRDefault="00083D63" w:rsidP="003768D4">
            <w:pPr>
              <w:pStyle w:val="ColorfulList-Accent11"/>
              <w:spacing w:after="0" w:line="240" w:lineRule="auto"/>
              <w:ind w:left="0"/>
              <w:rPr>
                <w:sz w:val="20"/>
                <w:szCs w:val="20"/>
              </w:rPr>
            </w:pPr>
            <w:r w:rsidRPr="00CE469B">
              <w:rPr>
                <w:sz w:val="20"/>
                <w:szCs w:val="20"/>
              </w:rPr>
              <w:t>CJI023-OSJI: Community-based justice services: 19010.010: Country Specific Tech Support</w:t>
            </w:r>
          </w:p>
        </w:tc>
      </w:tr>
      <w:tr w:rsidR="00083D63" w:rsidRPr="00535099" w:rsidTr="00B56CBC">
        <w:trPr>
          <w:trHeight w:val="288"/>
        </w:trPr>
        <w:tc>
          <w:tcPr>
            <w:tcW w:w="2448" w:type="dxa"/>
            <w:tcMar>
              <w:top w:w="0" w:type="dxa"/>
              <w:left w:w="108" w:type="dxa"/>
              <w:bottom w:w="0" w:type="dxa"/>
              <w:right w:w="108" w:type="dxa"/>
            </w:tcMar>
          </w:tcPr>
          <w:p w:rsidR="00083D63" w:rsidRPr="00B151CB" w:rsidRDefault="00083D63"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3D63" w:rsidRPr="00B56CBC" w:rsidRDefault="00083D63" w:rsidP="003768D4">
            <w:pPr>
              <w:rPr>
                <w:b/>
                <w:bCs/>
                <w:color w:val="262626"/>
              </w:rPr>
            </w:pPr>
            <w:r w:rsidRPr="00B56CBC">
              <w:rPr>
                <w:b/>
                <w:bCs/>
                <w:color w:val="262626"/>
              </w:rPr>
              <w:t>Entity (i.e., FPOS, ZUG)</w:t>
            </w:r>
          </w:p>
        </w:tc>
        <w:tc>
          <w:tcPr>
            <w:tcW w:w="3574" w:type="dxa"/>
            <w:tcBorders>
              <w:top w:val="single" w:sz="8" w:space="0" w:color="auto"/>
              <w:left w:val="single" w:sz="8" w:space="0" w:color="auto"/>
              <w:bottom w:val="single" w:sz="8" w:space="0" w:color="auto"/>
              <w:right w:val="single" w:sz="8" w:space="0" w:color="auto"/>
            </w:tcBorders>
          </w:tcPr>
          <w:p w:rsidR="00083D63" w:rsidRPr="00535099" w:rsidRDefault="00083D63" w:rsidP="003768D4">
            <w:pPr>
              <w:pStyle w:val="ColorfulList-Accent11"/>
              <w:spacing w:after="0" w:line="240" w:lineRule="auto"/>
              <w:ind w:left="0"/>
              <w:rPr>
                <w:sz w:val="20"/>
                <w:szCs w:val="20"/>
              </w:rPr>
            </w:pPr>
            <w:r>
              <w:rPr>
                <w:sz w:val="20"/>
                <w:szCs w:val="20"/>
              </w:rPr>
              <w:t>OSI NY</w:t>
            </w:r>
          </w:p>
        </w:tc>
      </w:tr>
      <w:tr w:rsidR="00083D63" w:rsidRPr="00535099" w:rsidTr="00B56CBC">
        <w:trPr>
          <w:trHeight w:val="288"/>
        </w:trPr>
        <w:tc>
          <w:tcPr>
            <w:tcW w:w="2448" w:type="dxa"/>
            <w:tcMar>
              <w:top w:w="0" w:type="dxa"/>
              <w:left w:w="108" w:type="dxa"/>
              <w:bottom w:w="0" w:type="dxa"/>
              <w:right w:w="108" w:type="dxa"/>
            </w:tcMar>
          </w:tcPr>
          <w:p w:rsidR="00083D63" w:rsidRPr="00B151CB" w:rsidRDefault="00083D63"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3D63" w:rsidRPr="00B56CBC" w:rsidRDefault="00083D63" w:rsidP="003768D4">
            <w:pPr>
              <w:rPr>
                <w:b/>
                <w:bCs/>
                <w:color w:val="262626"/>
              </w:rPr>
            </w:pPr>
            <w:r w:rsidRPr="00B56CBC">
              <w:rPr>
                <w:b/>
                <w:bCs/>
                <w:color w:val="262626"/>
              </w:rPr>
              <w:t>Fund Class (i.e., Lobbying/Non-Lobbying)</w:t>
            </w:r>
          </w:p>
        </w:tc>
        <w:tc>
          <w:tcPr>
            <w:tcW w:w="3574" w:type="dxa"/>
            <w:tcBorders>
              <w:top w:val="single" w:sz="8" w:space="0" w:color="auto"/>
              <w:left w:val="single" w:sz="8" w:space="0" w:color="auto"/>
              <w:bottom w:val="single" w:sz="8" w:space="0" w:color="auto"/>
              <w:right w:val="single" w:sz="8" w:space="0" w:color="auto"/>
            </w:tcBorders>
          </w:tcPr>
          <w:p w:rsidR="00083D63" w:rsidRPr="00535099" w:rsidRDefault="00083D63" w:rsidP="003768D4">
            <w:pPr>
              <w:pStyle w:val="ColorfulList-Accent11"/>
              <w:spacing w:after="0" w:line="240" w:lineRule="auto"/>
              <w:ind w:left="0"/>
              <w:rPr>
                <w:sz w:val="20"/>
                <w:szCs w:val="20"/>
              </w:rPr>
            </w:pPr>
            <w:r>
              <w:rPr>
                <w:sz w:val="20"/>
                <w:szCs w:val="20"/>
              </w:rPr>
              <w:t>Non-lobbying</w:t>
            </w:r>
          </w:p>
        </w:tc>
      </w:tr>
      <w:tr w:rsidR="00083D63" w:rsidRPr="00535099" w:rsidTr="00B56CBC">
        <w:trPr>
          <w:trHeight w:val="288"/>
        </w:trPr>
        <w:tc>
          <w:tcPr>
            <w:tcW w:w="2448" w:type="dxa"/>
            <w:tcMar>
              <w:top w:w="0" w:type="dxa"/>
              <w:left w:w="108" w:type="dxa"/>
              <w:bottom w:w="0" w:type="dxa"/>
              <w:right w:w="108" w:type="dxa"/>
            </w:tcMar>
          </w:tcPr>
          <w:p w:rsidR="00083D63" w:rsidRPr="00B151CB" w:rsidRDefault="00083D63" w:rsidP="00CC1AB9">
            <w:pPr>
              <w:spacing w:after="0"/>
              <w:rPr>
                <w:b/>
                <w:bCs/>
                <w:color w:val="262626"/>
                <w:sz w:val="24"/>
                <w:szCs w:val="24"/>
              </w:rPr>
            </w:pPr>
          </w:p>
        </w:tc>
        <w:tc>
          <w:tcPr>
            <w:tcW w:w="35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3D63" w:rsidRPr="00B56CBC" w:rsidRDefault="00083D63" w:rsidP="003768D4">
            <w:pPr>
              <w:rPr>
                <w:b/>
                <w:bCs/>
                <w:color w:val="262626"/>
              </w:rPr>
            </w:pPr>
            <w:r w:rsidRPr="00B56CBC">
              <w:rPr>
                <w:b/>
                <w:bCs/>
                <w:color w:val="262626"/>
              </w:rPr>
              <w:t>Geography (of benefit)</w:t>
            </w:r>
          </w:p>
        </w:tc>
        <w:tc>
          <w:tcPr>
            <w:tcW w:w="3574" w:type="dxa"/>
            <w:tcBorders>
              <w:top w:val="single" w:sz="8" w:space="0" w:color="auto"/>
              <w:left w:val="single" w:sz="8" w:space="0" w:color="auto"/>
              <w:bottom w:val="single" w:sz="8" w:space="0" w:color="auto"/>
              <w:right w:val="single" w:sz="8" w:space="0" w:color="auto"/>
            </w:tcBorders>
          </w:tcPr>
          <w:p w:rsidR="00083D63" w:rsidRPr="00535099" w:rsidRDefault="00083D63" w:rsidP="003768D4">
            <w:pPr>
              <w:pStyle w:val="ColorfulList-Accent11"/>
              <w:spacing w:after="0" w:line="240" w:lineRule="auto"/>
              <w:ind w:left="0"/>
              <w:rPr>
                <w:sz w:val="20"/>
                <w:szCs w:val="20"/>
              </w:rPr>
            </w:pPr>
            <w:r w:rsidRPr="00535099">
              <w:rPr>
                <w:sz w:val="20"/>
                <w:szCs w:val="20"/>
              </w:rPr>
              <w:t>Nepal</w:t>
            </w:r>
          </w:p>
        </w:tc>
      </w:tr>
    </w:tbl>
    <w:p w:rsidR="003A1544" w:rsidRPr="00B151CB" w:rsidRDefault="003A1544">
      <w:pPr>
        <w:rPr>
          <w:sz w:val="24"/>
          <w:szCs w:val="24"/>
        </w:rPr>
      </w:pPr>
      <w:bookmarkStart w:id="0" w:name="_GoBack"/>
      <w:bookmarkEnd w:id="0"/>
    </w:p>
    <w:sectPr w:rsidR="003A1544" w:rsidRPr="00B151CB" w:rsidSect="00C86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0F"/>
    <w:rsid w:val="00083D63"/>
    <w:rsid w:val="00116540"/>
    <w:rsid w:val="00153BEE"/>
    <w:rsid w:val="00170BF8"/>
    <w:rsid w:val="001E29FE"/>
    <w:rsid w:val="0022736E"/>
    <w:rsid w:val="002A5855"/>
    <w:rsid w:val="002B6F1C"/>
    <w:rsid w:val="003A1544"/>
    <w:rsid w:val="0044231B"/>
    <w:rsid w:val="004F0B91"/>
    <w:rsid w:val="00535099"/>
    <w:rsid w:val="005956BD"/>
    <w:rsid w:val="006849C3"/>
    <w:rsid w:val="006E4DBE"/>
    <w:rsid w:val="006F5215"/>
    <w:rsid w:val="00715D26"/>
    <w:rsid w:val="007411DA"/>
    <w:rsid w:val="00757287"/>
    <w:rsid w:val="0080167F"/>
    <w:rsid w:val="0085230F"/>
    <w:rsid w:val="0089328B"/>
    <w:rsid w:val="008D24A7"/>
    <w:rsid w:val="0095575E"/>
    <w:rsid w:val="00961565"/>
    <w:rsid w:val="0099779A"/>
    <w:rsid w:val="00AC3D31"/>
    <w:rsid w:val="00B11C2F"/>
    <w:rsid w:val="00B151CB"/>
    <w:rsid w:val="00B56CBC"/>
    <w:rsid w:val="00B71B25"/>
    <w:rsid w:val="00B95BDE"/>
    <w:rsid w:val="00C707D9"/>
    <w:rsid w:val="00C86706"/>
    <w:rsid w:val="00C92812"/>
    <w:rsid w:val="00CE469B"/>
    <w:rsid w:val="00DD4CFA"/>
    <w:rsid w:val="00E07124"/>
    <w:rsid w:val="00E557B1"/>
    <w:rsid w:val="00E965B4"/>
    <w:rsid w:val="00FE2B1E"/>
    <w:rsid w:val="00FE6891"/>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85230F"/>
    <w:pPr>
      <w:ind w:left="720"/>
      <w:contextualSpacing/>
    </w:pPr>
    <w:rPr>
      <w:rFonts w:ascii="Calibri" w:hAnsi="Calibri" w:cs="Times New Roman"/>
    </w:rPr>
  </w:style>
  <w:style w:type="character" w:styleId="Hyperlink">
    <w:name w:val="Hyperlink"/>
    <w:basedOn w:val="DefaultParagraphFont"/>
    <w:uiPriority w:val="99"/>
    <w:unhideWhenUsed/>
    <w:rsid w:val="0085230F"/>
    <w:rPr>
      <w:color w:val="0000FF" w:themeColor="hyperlink"/>
      <w:u w:val="single"/>
    </w:rPr>
  </w:style>
  <w:style w:type="paragraph" w:styleId="BalloonText">
    <w:name w:val="Balloon Text"/>
    <w:basedOn w:val="Normal"/>
    <w:link w:val="BalloonTextChar"/>
    <w:uiPriority w:val="99"/>
    <w:semiHidden/>
    <w:unhideWhenUsed/>
    <w:rsid w:val="0085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0F"/>
    <w:rPr>
      <w:rFonts w:ascii="Tahoma" w:hAnsi="Tahoma" w:cs="Tahoma"/>
      <w:sz w:val="16"/>
      <w:szCs w:val="16"/>
    </w:rPr>
  </w:style>
  <w:style w:type="character" w:styleId="CommentReference">
    <w:name w:val="annotation reference"/>
    <w:basedOn w:val="DefaultParagraphFont"/>
    <w:uiPriority w:val="99"/>
    <w:semiHidden/>
    <w:unhideWhenUsed/>
    <w:rsid w:val="0085230F"/>
    <w:rPr>
      <w:sz w:val="16"/>
      <w:szCs w:val="16"/>
    </w:rPr>
  </w:style>
  <w:style w:type="paragraph" w:styleId="CommentText">
    <w:name w:val="annotation text"/>
    <w:basedOn w:val="Normal"/>
    <w:link w:val="CommentTextChar"/>
    <w:uiPriority w:val="99"/>
    <w:semiHidden/>
    <w:unhideWhenUsed/>
    <w:rsid w:val="0085230F"/>
    <w:pPr>
      <w:spacing w:line="240" w:lineRule="auto"/>
    </w:pPr>
    <w:rPr>
      <w:sz w:val="20"/>
      <w:szCs w:val="20"/>
    </w:rPr>
  </w:style>
  <w:style w:type="character" w:customStyle="1" w:styleId="CommentTextChar">
    <w:name w:val="Comment Text Char"/>
    <w:basedOn w:val="DefaultParagraphFont"/>
    <w:link w:val="CommentText"/>
    <w:uiPriority w:val="99"/>
    <w:semiHidden/>
    <w:rsid w:val="0085230F"/>
    <w:rPr>
      <w:sz w:val="20"/>
      <w:szCs w:val="20"/>
    </w:rPr>
  </w:style>
  <w:style w:type="paragraph" w:styleId="CommentSubject">
    <w:name w:val="annotation subject"/>
    <w:basedOn w:val="CommentText"/>
    <w:next w:val="CommentText"/>
    <w:link w:val="CommentSubjectChar"/>
    <w:uiPriority w:val="99"/>
    <w:semiHidden/>
    <w:unhideWhenUsed/>
    <w:rsid w:val="0085230F"/>
    <w:rPr>
      <w:b/>
      <w:bCs/>
    </w:rPr>
  </w:style>
  <w:style w:type="character" w:customStyle="1" w:styleId="CommentSubjectChar">
    <w:name w:val="Comment Subject Char"/>
    <w:basedOn w:val="CommentTextChar"/>
    <w:link w:val="CommentSubject"/>
    <w:uiPriority w:val="99"/>
    <w:semiHidden/>
    <w:rsid w:val="008523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85230F"/>
    <w:pPr>
      <w:ind w:left="720"/>
      <w:contextualSpacing/>
    </w:pPr>
    <w:rPr>
      <w:rFonts w:ascii="Calibri" w:hAnsi="Calibri" w:cs="Times New Roman"/>
    </w:rPr>
  </w:style>
  <w:style w:type="character" w:styleId="Hyperlink">
    <w:name w:val="Hyperlink"/>
    <w:basedOn w:val="DefaultParagraphFont"/>
    <w:uiPriority w:val="99"/>
    <w:unhideWhenUsed/>
    <w:rsid w:val="0085230F"/>
    <w:rPr>
      <w:color w:val="0000FF" w:themeColor="hyperlink"/>
      <w:u w:val="single"/>
    </w:rPr>
  </w:style>
  <w:style w:type="paragraph" w:styleId="BalloonText">
    <w:name w:val="Balloon Text"/>
    <w:basedOn w:val="Normal"/>
    <w:link w:val="BalloonTextChar"/>
    <w:uiPriority w:val="99"/>
    <w:semiHidden/>
    <w:unhideWhenUsed/>
    <w:rsid w:val="0085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0F"/>
    <w:rPr>
      <w:rFonts w:ascii="Tahoma" w:hAnsi="Tahoma" w:cs="Tahoma"/>
      <w:sz w:val="16"/>
      <w:szCs w:val="16"/>
    </w:rPr>
  </w:style>
  <w:style w:type="character" w:styleId="CommentReference">
    <w:name w:val="annotation reference"/>
    <w:basedOn w:val="DefaultParagraphFont"/>
    <w:uiPriority w:val="99"/>
    <w:semiHidden/>
    <w:unhideWhenUsed/>
    <w:rsid w:val="0085230F"/>
    <w:rPr>
      <w:sz w:val="16"/>
      <w:szCs w:val="16"/>
    </w:rPr>
  </w:style>
  <w:style w:type="paragraph" w:styleId="CommentText">
    <w:name w:val="annotation text"/>
    <w:basedOn w:val="Normal"/>
    <w:link w:val="CommentTextChar"/>
    <w:uiPriority w:val="99"/>
    <w:semiHidden/>
    <w:unhideWhenUsed/>
    <w:rsid w:val="0085230F"/>
    <w:pPr>
      <w:spacing w:line="240" w:lineRule="auto"/>
    </w:pPr>
    <w:rPr>
      <w:sz w:val="20"/>
      <w:szCs w:val="20"/>
    </w:rPr>
  </w:style>
  <w:style w:type="character" w:customStyle="1" w:styleId="CommentTextChar">
    <w:name w:val="Comment Text Char"/>
    <w:basedOn w:val="DefaultParagraphFont"/>
    <w:link w:val="CommentText"/>
    <w:uiPriority w:val="99"/>
    <w:semiHidden/>
    <w:rsid w:val="0085230F"/>
    <w:rPr>
      <w:sz w:val="20"/>
      <w:szCs w:val="20"/>
    </w:rPr>
  </w:style>
  <w:style w:type="paragraph" w:styleId="CommentSubject">
    <w:name w:val="annotation subject"/>
    <w:basedOn w:val="CommentText"/>
    <w:next w:val="CommentText"/>
    <w:link w:val="CommentSubjectChar"/>
    <w:uiPriority w:val="99"/>
    <w:semiHidden/>
    <w:unhideWhenUsed/>
    <w:rsid w:val="0085230F"/>
    <w:rPr>
      <w:b/>
      <w:bCs/>
    </w:rPr>
  </w:style>
  <w:style w:type="character" w:customStyle="1" w:styleId="CommentSubjectChar">
    <w:name w:val="Comment Subject Char"/>
    <w:basedOn w:val="CommentTextChar"/>
    <w:link w:val="CommentSubject"/>
    <w:uiPriority w:val="99"/>
    <w:semiHidden/>
    <w:rsid w:val="00852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4929">
      <w:bodyDiv w:val="1"/>
      <w:marLeft w:val="0"/>
      <w:marRight w:val="0"/>
      <w:marTop w:val="0"/>
      <w:marBottom w:val="0"/>
      <w:divBdr>
        <w:top w:val="none" w:sz="0" w:space="0" w:color="auto"/>
        <w:left w:val="none" w:sz="0" w:space="0" w:color="auto"/>
        <w:bottom w:val="none" w:sz="0" w:space="0" w:color="auto"/>
        <w:right w:val="none" w:sz="0" w:space="0" w:color="auto"/>
      </w:divBdr>
    </w:div>
    <w:div w:id="96028284">
      <w:bodyDiv w:val="1"/>
      <w:marLeft w:val="0"/>
      <w:marRight w:val="0"/>
      <w:marTop w:val="0"/>
      <w:marBottom w:val="0"/>
      <w:divBdr>
        <w:top w:val="none" w:sz="0" w:space="0" w:color="auto"/>
        <w:left w:val="none" w:sz="0" w:space="0" w:color="auto"/>
        <w:bottom w:val="none" w:sz="0" w:space="0" w:color="auto"/>
        <w:right w:val="none" w:sz="0" w:space="0" w:color="auto"/>
      </w:divBdr>
    </w:div>
    <w:div w:id="1090930576">
      <w:bodyDiv w:val="1"/>
      <w:marLeft w:val="0"/>
      <w:marRight w:val="0"/>
      <w:marTop w:val="0"/>
      <w:marBottom w:val="0"/>
      <w:divBdr>
        <w:top w:val="none" w:sz="0" w:space="0" w:color="auto"/>
        <w:left w:val="none" w:sz="0" w:space="0" w:color="auto"/>
        <w:bottom w:val="none" w:sz="0" w:space="0" w:color="auto"/>
        <w:right w:val="none" w:sz="0" w:space="0" w:color="auto"/>
      </w:divBdr>
    </w:div>
    <w:div w:id="1343046314">
      <w:bodyDiv w:val="1"/>
      <w:marLeft w:val="0"/>
      <w:marRight w:val="0"/>
      <w:marTop w:val="0"/>
      <w:marBottom w:val="0"/>
      <w:divBdr>
        <w:top w:val="none" w:sz="0" w:space="0" w:color="auto"/>
        <w:left w:val="none" w:sz="0" w:space="0" w:color="auto"/>
        <w:bottom w:val="none" w:sz="0" w:space="0" w:color="auto"/>
        <w:right w:val="none" w:sz="0" w:space="0" w:color="auto"/>
      </w:divBdr>
    </w:div>
    <w:div w:id="21435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rl.soros.org/communities/reserves/files/ii.-policies/rapid-response-as-of-10-november-2014.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rl.soros.org/communities/reserves/view.html" TargetMode="External"/><Relationship Id="rId5" Type="http://schemas.openxmlformats.org/officeDocument/2006/relationships/hyperlink" Target="https://karl.soros.org/communities/post-2015-mdgs-shared-framework/files/2015-country-global-advocacy-team-strategies/post-2015-sf-nepal-strategy-for-2015.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OSF</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Alexandra Lutoshkina</cp:lastModifiedBy>
  <cp:revision>2</cp:revision>
  <dcterms:created xsi:type="dcterms:W3CDTF">2015-07-22T19:06:00Z</dcterms:created>
  <dcterms:modified xsi:type="dcterms:W3CDTF">2015-07-22T19:06:00Z</dcterms:modified>
</cp:coreProperties>
</file>